
<file path=[Content_Types].xml><?xml version="1.0" encoding="utf-8"?>
<Types xmlns="http://schemas.openxmlformats.org/package/2006/content-types">
  <Default Extension="xml" ContentType="application/xml"/>
  <Default Extension="jpeg" ContentType="image/jpe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方正小标宋简体" w:cs="Times New Roman"/>
          <w:color w:val="auto"/>
          <w:sz w:val="44"/>
          <w:szCs w:val="44"/>
          <w:lang w:val="en-US" w:eastAsia="zh-CN"/>
        </w:rPr>
      </w:pPr>
      <w:bookmarkStart w:id="188" w:name="_GoBack"/>
      <w:bookmarkEnd w:id="188"/>
    </w:p>
    <w:p>
      <w:pPr>
        <w:rPr>
          <w:rFonts w:hint="default" w:ascii="Times New Roman" w:hAnsi="Times New Roman" w:eastAsia="方正小标宋简体" w:cs="Times New Roman"/>
          <w:color w:val="auto"/>
          <w:sz w:val="44"/>
          <w:szCs w:val="44"/>
        </w:rPr>
      </w:pPr>
    </w:p>
    <w:p>
      <w:pPr>
        <w:pStyle w:val="5"/>
        <w:rPr>
          <w:rFonts w:hint="default" w:ascii="Times New Roman" w:hAnsi="Times New Roman" w:eastAsia="方正小标宋简体" w:cs="Times New Roman"/>
          <w:color w:val="auto"/>
          <w:sz w:val="44"/>
          <w:szCs w:val="44"/>
        </w:rPr>
      </w:pPr>
    </w:p>
    <w:p>
      <w:pPr>
        <w:pStyle w:val="5"/>
        <w:rPr>
          <w:rFonts w:hint="default" w:ascii="Times New Roman" w:hAnsi="Times New Roman" w:eastAsia="方正小标宋简体" w:cs="Times New Roman"/>
          <w:color w:val="auto"/>
          <w:sz w:val="44"/>
          <w:szCs w:val="44"/>
        </w:rPr>
      </w:pPr>
    </w:p>
    <w:p>
      <w:pPr>
        <w:pStyle w:val="5"/>
        <w:rPr>
          <w:rFonts w:hint="default" w:ascii="Times New Roman" w:hAnsi="Times New Roman" w:eastAsia="方正小标宋简体" w:cs="Times New Roman"/>
          <w:color w:val="auto"/>
          <w:sz w:val="44"/>
          <w:szCs w:val="44"/>
        </w:rPr>
      </w:pPr>
    </w:p>
    <w:p>
      <w:pPr>
        <w:jc w:val="center"/>
        <w:rPr>
          <w:rFonts w:hint="default" w:ascii="Times New Roman" w:hAnsi="Times New Roman" w:eastAsia="方正小标宋简体" w:cs="Times New Roman"/>
          <w:color w:val="auto"/>
          <w:sz w:val="56"/>
          <w:szCs w:val="56"/>
        </w:rPr>
      </w:pPr>
      <w:r>
        <w:rPr>
          <w:rFonts w:hint="default" w:ascii="Times New Roman" w:hAnsi="Times New Roman" w:eastAsia="方正小标宋简体" w:cs="Times New Roman"/>
          <w:color w:val="auto"/>
          <w:sz w:val="56"/>
          <w:szCs w:val="56"/>
        </w:rPr>
        <w:t>西北五省（区）雷电防护装置</w:t>
      </w:r>
    </w:p>
    <w:p>
      <w:pPr>
        <w:jc w:val="center"/>
        <w:rPr>
          <w:rFonts w:hint="default" w:ascii="Times New Roman" w:hAnsi="Times New Roman" w:eastAsia="方正小标宋简体" w:cs="Times New Roman"/>
          <w:color w:val="auto"/>
          <w:sz w:val="56"/>
          <w:szCs w:val="56"/>
        </w:rPr>
      </w:pPr>
      <w:r>
        <w:rPr>
          <w:rFonts w:hint="default" w:ascii="Times New Roman" w:hAnsi="Times New Roman" w:eastAsia="方正小标宋简体" w:cs="Times New Roman"/>
          <w:color w:val="auto"/>
          <w:sz w:val="56"/>
          <w:szCs w:val="56"/>
          <w:lang w:eastAsia="zh-CN"/>
        </w:rPr>
        <w:t>检测</w:t>
      </w:r>
      <w:r>
        <w:rPr>
          <w:rFonts w:hint="default" w:ascii="Times New Roman" w:hAnsi="Times New Roman" w:eastAsia="方正小标宋简体" w:cs="Times New Roman"/>
          <w:color w:val="auto"/>
          <w:sz w:val="56"/>
          <w:szCs w:val="56"/>
        </w:rPr>
        <w:t>报告</w:t>
      </w:r>
      <w:r>
        <w:rPr>
          <w:rFonts w:hint="eastAsia" w:eastAsia="方正小标宋简体" w:cs="Times New Roman"/>
          <w:color w:val="auto"/>
          <w:sz w:val="56"/>
          <w:szCs w:val="56"/>
          <w:lang w:val="en-US" w:eastAsia="zh-CN"/>
        </w:rPr>
        <w:t>填写</w:t>
      </w:r>
      <w:r>
        <w:rPr>
          <w:rFonts w:hint="default" w:ascii="Times New Roman" w:hAnsi="Times New Roman" w:eastAsia="方正小标宋简体" w:cs="Times New Roman"/>
          <w:color w:val="auto"/>
          <w:sz w:val="56"/>
          <w:szCs w:val="56"/>
        </w:rPr>
        <w:t>说明</w:t>
      </w:r>
    </w:p>
    <w:p>
      <w:pPr>
        <w:pStyle w:val="5"/>
        <w:ind w:left="0" w:leftChars="0" w:right="0" w:rightChars="0" w:firstLine="0" w:firstLineChars="0"/>
        <w:jc w:val="center"/>
        <w:rPr>
          <w:rFonts w:hint="eastAsia" w:ascii="方正小标宋简体" w:hAnsi="方正小标宋简体" w:eastAsia="方正小标宋简体" w:cs="方正小标宋简体"/>
          <w:color w:val="auto"/>
          <w:sz w:val="48"/>
          <w:szCs w:val="48"/>
          <w:lang w:eastAsia="zh-CN"/>
        </w:rPr>
      </w:pPr>
      <w:r>
        <w:rPr>
          <w:rFonts w:hint="eastAsia" w:ascii="方正小标宋简体" w:hAnsi="方正小标宋简体" w:eastAsia="方正小标宋简体" w:cs="方正小标宋简体"/>
          <w:color w:val="auto"/>
          <w:sz w:val="48"/>
          <w:szCs w:val="48"/>
          <w:lang w:eastAsia="zh-CN"/>
        </w:rPr>
        <w:t>（</w:t>
      </w:r>
      <w:r>
        <w:rPr>
          <w:rFonts w:hint="eastAsia" w:ascii="方正小标宋简体" w:hAnsi="方正小标宋简体" w:eastAsia="方正小标宋简体" w:cs="方正小标宋简体"/>
          <w:color w:val="auto"/>
          <w:sz w:val="48"/>
          <w:szCs w:val="48"/>
          <w:lang w:val="en-US" w:eastAsia="zh-CN"/>
        </w:rPr>
        <w:t>2026版</w:t>
      </w:r>
      <w:r>
        <w:rPr>
          <w:rFonts w:hint="eastAsia" w:ascii="方正小标宋简体" w:hAnsi="方正小标宋简体" w:eastAsia="方正小标宋简体" w:cs="方正小标宋简体"/>
          <w:color w:val="auto"/>
          <w:sz w:val="48"/>
          <w:szCs w:val="48"/>
          <w:lang w:eastAsia="zh-CN"/>
        </w:rPr>
        <w:t>）</w:t>
      </w:r>
    </w:p>
    <w:p>
      <w:pPr>
        <w:pStyle w:val="5"/>
        <w:rPr>
          <w:rFonts w:hint="default" w:ascii="Times New Roman" w:hAnsi="Times New Roman" w:eastAsia="方正小标宋简体" w:cs="Times New Roman"/>
          <w:color w:val="auto"/>
          <w:sz w:val="52"/>
          <w:szCs w:val="52"/>
        </w:rPr>
      </w:pPr>
    </w:p>
    <w:p>
      <w:pPr>
        <w:pStyle w:val="5"/>
        <w:rPr>
          <w:rFonts w:hint="default" w:ascii="Times New Roman" w:hAnsi="Times New Roman" w:eastAsia="方正小标宋简体" w:cs="Times New Roman"/>
          <w:color w:val="auto"/>
          <w:sz w:val="52"/>
          <w:szCs w:val="52"/>
        </w:rPr>
      </w:pPr>
    </w:p>
    <w:p>
      <w:pPr>
        <w:pStyle w:val="5"/>
        <w:rPr>
          <w:rFonts w:hint="default" w:ascii="Times New Roman" w:hAnsi="Times New Roman" w:eastAsia="方正小标宋简体" w:cs="Times New Roman"/>
          <w:color w:val="auto"/>
          <w:sz w:val="52"/>
          <w:szCs w:val="52"/>
        </w:rPr>
      </w:pPr>
    </w:p>
    <w:p>
      <w:pPr>
        <w:pStyle w:val="5"/>
        <w:tabs>
          <w:tab w:val="left" w:pos="6761"/>
        </w:tabs>
        <w:rPr>
          <w:rFonts w:hint="eastAsia" w:ascii="Times New Roman" w:hAnsi="Times New Roman" w:eastAsia="方正小标宋简体" w:cs="Times New Roman"/>
          <w:color w:val="auto"/>
          <w:sz w:val="52"/>
          <w:szCs w:val="52"/>
          <w:lang w:eastAsia="zh-CN"/>
        </w:rPr>
      </w:pPr>
      <w:r>
        <w:rPr>
          <w:rFonts w:hint="eastAsia" w:eastAsia="方正小标宋简体" w:cs="Times New Roman"/>
          <w:color w:val="auto"/>
          <w:sz w:val="52"/>
          <w:szCs w:val="52"/>
          <w:lang w:eastAsia="zh-CN"/>
        </w:rPr>
        <w:tab/>
      </w:r>
    </w:p>
    <w:p>
      <w:pPr>
        <w:pStyle w:val="5"/>
        <w:rPr>
          <w:rFonts w:hint="default" w:ascii="Times New Roman" w:hAnsi="Times New Roman" w:eastAsia="方正小标宋简体" w:cs="Times New Roman"/>
          <w:color w:val="auto"/>
          <w:sz w:val="52"/>
          <w:szCs w:val="52"/>
        </w:rPr>
      </w:pPr>
    </w:p>
    <w:tbl>
      <w:tblPr>
        <w:tblStyle w:val="18"/>
        <w:tblpPr w:leftFromText="180" w:rightFromText="180" w:vertAnchor="text" w:horzAnchor="page" w:tblpX="2984" w:tblpY="1058"/>
        <w:tblW w:w="65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2"/>
        <w:gridCol w:w="22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252" w:type="dxa"/>
          </w:tcPr>
          <w:p>
            <w:pPr>
              <w:spacing w:line="440" w:lineRule="exact"/>
              <w:jc w:val="distribute"/>
              <w:rPr>
                <w:rFonts w:ascii="楷体" w:hAnsi="楷体" w:eastAsia="楷体" w:cs="宋体"/>
                <w:color w:val="auto"/>
                <w:sz w:val="30"/>
                <w:szCs w:val="30"/>
              </w:rPr>
            </w:pPr>
            <w:r>
              <w:rPr>
                <w:rFonts w:ascii="楷体" w:hAnsi="楷体" w:eastAsia="楷体" w:cs="宋体"/>
                <w:color w:val="auto"/>
                <w:sz w:val="30"/>
                <w:szCs w:val="30"/>
              </w:rPr>
              <mc:AlternateContent>
                <mc:Choice Requires="wps">
                  <w:drawing>
                    <wp:anchor distT="0" distB="0" distL="114300" distR="114300" simplePos="0" relativeHeight="251669504" behindDoc="1" locked="0" layoutInCell="1" allowOverlap="1">
                      <wp:simplePos x="0" y="0"/>
                      <wp:positionH relativeFrom="column">
                        <wp:posOffset>4203700</wp:posOffset>
                      </wp:positionH>
                      <wp:positionV relativeFrom="page">
                        <wp:posOffset>8678545</wp:posOffset>
                      </wp:positionV>
                      <wp:extent cx="737235" cy="37338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737235" cy="373380"/>
                              </a:xfrm>
                              <a:prstGeom prst="rect">
                                <a:avLst/>
                              </a:prstGeom>
                              <a:noFill/>
                              <a:ln>
                                <a:noFill/>
                              </a:ln>
                            </wps:spPr>
                            <wps:txbx>
                              <w:txbxContent>
                                <w:p>
                                  <w:pPr>
                                    <w:snapToGrid w:val="0"/>
                                    <w:rPr>
                                      <w:rFonts w:ascii="黑体" w:hAnsi="黑体" w:eastAsia="黑体" w:cs="黑体"/>
                                      <w:bCs/>
                                      <w:sz w:val="28"/>
                                      <w:szCs w:val="28"/>
                                    </w:rPr>
                                  </w:pPr>
                                  <w:r>
                                    <w:rPr>
                                      <w:rFonts w:hint="eastAsia" w:ascii="黑体" w:hAnsi="黑体" w:eastAsia="黑体" w:cs="黑体"/>
                                      <w:bCs/>
                                      <w:sz w:val="28"/>
                                      <w:szCs w:val="28"/>
                                    </w:rPr>
                                    <w:t>监制</w:t>
                                  </w:r>
                                </w:p>
                              </w:txbxContent>
                            </wps:txbx>
                            <wps:bodyPr lIns="0" tIns="0" rIns="0" bIns="0" anchor="ctr" anchorCtr="0" upright="1"/>
                          </wps:wsp>
                        </a:graphicData>
                      </a:graphic>
                    </wp:anchor>
                  </w:drawing>
                </mc:Choice>
                <mc:Fallback>
                  <w:pict>
                    <v:shape id="_x0000_s1026" o:spid="_x0000_s1026" o:spt="202" type="#_x0000_t202" style="position:absolute;left:0pt;margin-left:331pt;margin-top:683.35pt;height:29.4pt;width:58.05pt;mso-position-vertical-relative:page;z-index:-251646976;v-text-anchor:middle;mso-width-relative:page;mso-height-relative:page;" filled="f" stroked="f" coordsize="21600,21600" o:gfxdata="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wV&#10;8z7bAAAADQEAAA8AAAAAAAAAAQAgAAAAIgAAAGRycy9kb3ducmV2LnhtbFBLAQIUABQAAAAIAIdO&#10;4kAfX0JRrgEAAEADAAAOAAAAAAAAAAEAIAAAACoBAABkcnMvZTJvRG9jLnhtbFBLBQYAAAAABgAG&#10;AFkBAABKBQAAAAA=&#10;">
                      <v:fill on="f" focussize="0,0"/>
                      <v:stroke on="f"/>
                      <v:imagedata o:title=""/>
                      <o:lock v:ext="edit" aspectratio="f"/>
                      <v:textbox inset="0mm,0mm,0mm,0mm">
                        <w:txbxContent>
                          <w:p>
                            <w:pPr>
                              <w:snapToGrid w:val="0"/>
                              <w:rPr>
                                <w:rFonts w:ascii="黑体" w:hAnsi="黑体" w:eastAsia="黑体" w:cs="黑体"/>
                                <w:bCs/>
                                <w:sz w:val="28"/>
                                <w:szCs w:val="28"/>
                              </w:rPr>
                            </w:pPr>
                            <w:r>
                              <w:rPr>
                                <w:rFonts w:hint="eastAsia" w:ascii="黑体" w:hAnsi="黑体" w:eastAsia="黑体" w:cs="黑体"/>
                                <w:bCs/>
                                <w:sz w:val="28"/>
                                <w:szCs w:val="28"/>
                              </w:rPr>
                              <w:t>监制</w:t>
                            </w:r>
                          </w:p>
                        </w:txbxContent>
                      </v:textbox>
                    </v:shape>
                  </w:pict>
                </mc:Fallback>
              </mc:AlternateContent>
            </w:r>
            <w:r>
              <w:rPr>
                <w:rFonts w:ascii="楷体" w:hAnsi="楷体" w:eastAsia="楷体" w:cs="宋体"/>
                <w:color w:val="auto"/>
                <w:sz w:val="30"/>
                <w:szCs w:val="30"/>
              </w:rPr>
              <w:br w:type="page"/>
            </w:r>
            <w:r>
              <w:rPr>
                <w:rFonts w:hint="eastAsia" w:ascii="楷体" w:hAnsi="楷体" w:eastAsia="楷体" w:cs="宋体"/>
                <w:color w:val="auto"/>
                <w:sz w:val="30"/>
                <w:szCs w:val="30"/>
              </w:rPr>
              <w:t>陕西省气象局</w:t>
            </w:r>
          </w:p>
        </w:tc>
        <w:tc>
          <w:tcPr>
            <w:tcW w:w="2262" w:type="dxa"/>
            <w:vMerge w:val="restart"/>
            <w:vAlign w:val="center"/>
          </w:tcPr>
          <w:p>
            <w:pPr>
              <w:spacing w:line="440" w:lineRule="exact"/>
              <w:jc w:val="center"/>
              <w:rPr>
                <w:rFonts w:ascii="楷体" w:hAnsi="楷体" w:eastAsia="楷体" w:cs="宋体"/>
                <w:color w:val="auto"/>
                <w:sz w:val="30"/>
                <w:szCs w:val="30"/>
              </w:rPr>
            </w:pPr>
            <w:r>
              <w:rPr>
                <w:rFonts w:ascii="楷体" w:hAnsi="楷体" w:eastAsia="楷体" w:cs="宋体"/>
                <w:color w:val="auto"/>
                <w:sz w:val="30"/>
                <w:szCs w:val="30"/>
              </w:rPr>
              <w:t>监</w:t>
            </w:r>
            <w:r>
              <w:rPr>
                <w:rFonts w:hint="eastAsia" w:ascii="楷体" w:hAnsi="楷体" w:eastAsia="楷体" w:cs="宋体"/>
                <w:color w:val="auto"/>
                <w:sz w:val="30"/>
                <w:szCs w:val="30"/>
              </w:rPr>
              <w:t xml:space="preserve">  </w:t>
            </w:r>
            <w:r>
              <w:rPr>
                <w:rFonts w:ascii="楷体" w:hAnsi="楷体" w:eastAsia="楷体" w:cs="宋体"/>
                <w:color w:val="auto"/>
                <w:sz w:val="30"/>
                <w:szCs w:val="30"/>
              </w:rPr>
              <w:t>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252" w:type="dxa"/>
          </w:tcPr>
          <w:p>
            <w:pPr>
              <w:spacing w:line="440" w:lineRule="exact"/>
              <w:jc w:val="distribute"/>
              <w:rPr>
                <w:rFonts w:ascii="楷体" w:hAnsi="楷体" w:eastAsia="楷体" w:cs="宋体"/>
                <w:color w:val="auto"/>
                <w:sz w:val="30"/>
                <w:szCs w:val="30"/>
              </w:rPr>
            </w:pPr>
            <w:r>
              <w:rPr>
                <w:rFonts w:hint="eastAsia" w:ascii="楷体" w:hAnsi="楷体" w:eastAsia="楷体" w:cs="宋体"/>
                <w:color w:val="auto"/>
                <w:sz w:val="30"/>
                <w:szCs w:val="30"/>
              </w:rPr>
              <w:t>甘肃省气象局</w:t>
            </w:r>
          </w:p>
        </w:tc>
        <w:tc>
          <w:tcPr>
            <w:tcW w:w="2262" w:type="dxa"/>
            <w:vMerge w:val="continue"/>
          </w:tcPr>
          <w:p>
            <w:pPr>
              <w:spacing w:line="440" w:lineRule="exact"/>
              <w:rPr>
                <w:rFonts w:ascii="楷体" w:hAnsi="楷体" w:eastAsia="楷体" w:cs="宋体"/>
                <w:color w:val="auto"/>
                <w:sz w:val="30"/>
                <w:szCs w:val="3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252" w:type="dxa"/>
          </w:tcPr>
          <w:p>
            <w:pPr>
              <w:spacing w:line="440" w:lineRule="exact"/>
              <w:jc w:val="distribute"/>
              <w:rPr>
                <w:rFonts w:ascii="楷体" w:hAnsi="楷体" w:eastAsia="楷体" w:cs="宋体"/>
                <w:color w:val="auto"/>
                <w:sz w:val="30"/>
                <w:szCs w:val="30"/>
              </w:rPr>
            </w:pPr>
            <w:r>
              <w:rPr>
                <w:rFonts w:hint="eastAsia" w:ascii="楷体" w:hAnsi="楷体" w:eastAsia="楷体" w:cs="宋体"/>
                <w:color w:val="auto"/>
                <w:sz w:val="30"/>
                <w:szCs w:val="30"/>
              </w:rPr>
              <w:t>青海省气象局</w:t>
            </w:r>
          </w:p>
        </w:tc>
        <w:tc>
          <w:tcPr>
            <w:tcW w:w="2262" w:type="dxa"/>
            <w:vMerge w:val="continue"/>
          </w:tcPr>
          <w:p>
            <w:pPr>
              <w:spacing w:line="440" w:lineRule="exact"/>
              <w:rPr>
                <w:rFonts w:ascii="楷体" w:hAnsi="楷体" w:eastAsia="楷体" w:cs="宋体"/>
                <w:color w:val="auto"/>
                <w:sz w:val="30"/>
                <w:szCs w:val="3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252" w:type="dxa"/>
          </w:tcPr>
          <w:p>
            <w:pPr>
              <w:spacing w:line="440" w:lineRule="exact"/>
              <w:jc w:val="distribute"/>
              <w:rPr>
                <w:rFonts w:ascii="楷体" w:hAnsi="楷体" w:eastAsia="楷体" w:cs="宋体"/>
                <w:color w:val="auto"/>
                <w:sz w:val="30"/>
                <w:szCs w:val="30"/>
              </w:rPr>
            </w:pPr>
            <w:r>
              <w:rPr>
                <w:rFonts w:hint="eastAsia" w:ascii="楷体" w:hAnsi="楷体" w:eastAsia="楷体" w:cs="宋体"/>
                <w:color w:val="auto"/>
                <w:sz w:val="30"/>
                <w:szCs w:val="30"/>
              </w:rPr>
              <w:t>宁夏回族自治区气象局</w:t>
            </w:r>
          </w:p>
        </w:tc>
        <w:tc>
          <w:tcPr>
            <w:tcW w:w="2262" w:type="dxa"/>
            <w:vMerge w:val="continue"/>
          </w:tcPr>
          <w:p>
            <w:pPr>
              <w:spacing w:line="440" w:lineRule="exact"/>
              <w:rPr>
                <w:rFonts w:ascii="楷体" w:hAnsi="楷体" w:eastAsia="楷体" w:cs="宋体"/>
                <w:color w:val="auto"/>
                <w:sz w:val="30"/>
                <w:szCs w:val="3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252" w:type="dxa"/>
          </w:tcPr>
          <w:p>
            <w:pPr>
              <w:spacing w:line="440" w:lineRule="exact"/>
              <w:jc w:val="distribute"/>
              <w:rPr>
                <w:rFonts w:ascii="楷体" w:hAnsi="楷体" w:eastAsia="楷体" w:cs="宋体"/>
                <w:color w:val="auto"/>
                <w:sz w:val="30"/>
                <w:szCs w:val="30"/>
              </w:rPr>
            </w:pPr>
            <w:r>
              <w:rPr>
                <w:rFonts w:hint="eastAsia" w:ascii="楷体" w:hAnsi="楷体" w:eastAsia="楷体" w:cs="宋体"/>
                <w:color w:val="auto"/>
                <w:sz w:val="30"/>
                <w:szCs w:val="30"/>
              </w:rPr>
              <w:t>新疆维吾尔自治区气象局</w:t>
            </w:r>
          </w:p>
        </w:tc>
        <w:tc>
          <w:tcPr>
            <w:tcW w:w="2262" w:type="dxa"/>
            <w:vMerge w:val="continue"/>
          </w:tcPr>
          <w:p>
            <w:pPr>
              <w:spacing w:line="440" w:lineRule="exact"/>
              <w:rPr>
                <w:rFonts w:ascii="楷体" w:hAnsi="楷体" w:eastAsia="楷体" w:cs="宋体"/>
                <w:color w:val="auto"/>
                <w:sz w:val="30"/>
                <w:szCs w:val="3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6514" w:type="dxa"/>
            <w:gridSpan w:val="2"/>
          </w:tcPr>
          <w:p>
            <w:pPr>
              <w:spacing w:line="440" w:lineRule="exact"/>
              <w:jc w:val="center"/>
              <w:rPr>
                <w:rFonts w:ascii="楷体" w:hAnsi="楷体" w:eastAsia="楷体" w:cs="宋体"/>
                <w:color w:val="auto"/>
                <w:sz w:val="30"/>
                <w:szCs w:val="30"/>
              </w:rPr>
            </w:pPr>
          </w:p>
        </w:tc>
      </w:tr>
    </w:tbl>
    <w:p>
      <w:pPr>
        <w:pStyle w:val="5"/>
        <w:ind w:left="0" w:leftChars="0" w:firstLine="0" w:firstLineChars="0"/>
        <w:jc w:val="center"/>
        <w:rPr>
          <w:rFonts w:hint="default" w:ascii="Times New Roman" w:hAnsi="Times New Roman" w:eastAsia="方正小标宋简体" w:cs="Times New Roman"/>
          <w:color w:val="auto"/>
          <w:sz w:val="52"/>
          <w:szCs w:val="52"/>
        </w:rPr>
      </w:pPr>
    </w:p>
    <w:p>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color w:val="auto"/>
          <w:sz w:val="44"/>
          <w:szCs w:val="44"/>
        </w:rPr>
        <w:sectPr>
          <w:footerReference r:id="rId5" w:type="first"/>
          <w:headerReference r:id="rId3" w:type="default"/>
          <w:footerReference r:id="rId4" w:type="default"/>
          <w:pgSz w:w="11906" w:h="16838"/>
          <w:pgMar w:top="1440" w:right="1406" w:bottom="1440" w:left="1406" w:header="851" w:footer="992" w:gutter="0"/>
          <w:pgBorders>
            <w:top w:val="none" w:color="auto" w:sz="0" w:space="0"/>
            <w:left w:val="none" w:color="auto" w:sz="0" w:space="0"/>
            <w:bottom w:val="none" w:color="auto" w:sz="0" w:space="0"/>
            <w:right w:val="none" w:color="auto" w:sz="0" w:space="0"/>
          </w:pgBorders>
          <w:pgNumType w:fmt="decimal"/>
          <w:cols w:space="720" w:num="1"/>
          <w:titlePg/>
          <w:docGrid w:type="lines" w:linePitch="312" w:charSpace="0"/>
        </w:sectPr>
      </w:pPr>
    </w:p>
    <w:sdt>
      <w:sdtPr>
        <w:rPr>
          <w:rFonts w:hint="eastAsia" w:ascii="黑体" w:hAnsi="黑体" w:eastAsia="黑体" w:cs="黑体"/>
          <w:color w:val="auto"/>
          <w:kern w:val="2"/>
          <w:sz w:val="21"/>
          <w:szCs w:val="24"/>
          <w:lang w:val="en-US" w:eastAsia="zh-CN" w:bidi="ar-SA"/>
        </w:rPr>
        <w:id w:val="147479862"/>
        <w15:color w:val="DBDBDB"/>
      </w:sdtPr>
      <w:sdtEndPr>
        <w:rPr>
          <w:rFonts w:hint="default" w:ascii="Times New Roman" w:hAnsi="Times New Roman" w:eastAsia="方正小标宋简体" w:cs="Times New Roman"/>
          <w:color w:val="auto"/>
          <w:kern w:val="2"/>
          <w:sz w:val="21"/>
          <w:szCs w:val="44"/>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color w:val="auto"/>
            </w:rPr>
          </w:pPr>
          <w:r>
            <w:rPr>
              <w:rFonts w:hint="eastAsia" w:ascii="黑体" w:hAnsi="黑体" w:eastAsia="黑体" w:cs="黑体"/>
              <w:color w:val="auto"/>
              <w:sz w:val="32"/>
              <w:szCs w:val="32"/>
            </w:rPr>
            <w:t>目</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录</w:t>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 w:val="28"/>
              <w:szCs w:val="28"/>
            </w:rPr>
            <w:fldChar w:fldCharType="begin"/>
          </w:r>
          <w:r>
            <w:rPr>
              <w:rFonts w:hint="default" w:ascii="Times New Roman" w:hAnsi="Times New Roman" w:eastAsia="等线 Light" w:cs="Times New Roman"/>
              <w:color w:val="auto"/>
              <w:sz w:val="28"/>
              <w:szCs w:val="28"/>
            </w:rPr>
            <w:instrText xml:space="preserve">TOC \o "1-2" \h \u </w:instrText>
          </w:r>
          <w:r>
            <w:rPr>
              <w:rFonts w:hint="default" w:ascii="Times New Roman" w:hAnsi="Times New Roman" w:eastAsia="等线 Light" w:cs="Times New Roman"/>
              <w:color w:val="auto"/>
              <w:sz w:val="28"/>
              <w:szCs w:val="28"/>
            </w:rPr>
            <w:fldChar w:fldCharType="separate"/>
          </w: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_Toc9942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 总体说明</w:t>
          </w:r>
          <w:r>
            <w:rPr>
              <w:color w:val="auto"/>
            </w:rPr>
            <w:tab/>
          </w:r>
          <w:r>
            <w:rPr>
              <w:color w:val="auto"/>
            </w:rPr>
            <w:fldChar w:fldCharType="begin"/>
          </w:r>
          <w:r>
            <w:rPr>
              <w:color w:val="auto"/>
            </w:rPr>
            <w:instrText xml:space="preserve"> PAGEREF _Toc9942 \h </w:instrText>
          </w:r>
          <w:r>
            <w:rPr>
              <w:color w:val="auto"/>
            </w:rPr>
            <w:fldChar w:fldCharType="separate"/>
          </w:r>
          <w:r>
            <w:rPr>
              <w:color w:val="auto"/>
            </w:rPr>
            <w:t>1</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_Toc23528 </w:instrText>
          </w:r>
          <w:r>
            <w:rPr>
              <w:rFonts w:hint="eastAsia" w:ascii="宋体" w:hAnsi="宋体" w:eastAsia="宋体" w:cs="宋体"/>
              <w:color w:val="auto"/>
              <w:szCs w:val="28"/>
            </w:rPr>
            <w:fldChar w:fldCharType="separate"/>
          </w:r>
          <w:r>
            <w:rPr>
              <w:rFonts w:hint="eastAsia" w:ascii="宋体" w:hAnsi="宋体" w:eastAsia="宋体" w:cs="宋体"/>
              <w:color w:val="auto"/>
            </w:rPr>
            <w:t>1.1 报告组成</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_Toc23528 \h </w:instrText>
          </w:r>
          <w:r>
            <w:rPr>
              <w:rFonts w:hint="eastAsia" w:ascii="宋体" w:hAnsi="宋体" w:eastAsia="宋体" w:cs="宋体"/>
              <w:color w:val="auto"/>
            </w:rPr>
            <w:fldChar w:fldCharType="separate"/>
          </w:r>
          <w:r>
            <w:rPr>
              <w:rFonts w:hint="eastAsia" w:ascii="宋体" w:hAnsi="宋体" w:eastAsia="宋体" w:cs="宋体"/>
              <w:color w:val="auto"/>
            </w:rPr>
            <w:t>1</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_Toc12116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1.2 报告归档</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_Toc12116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_Toc29268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1.3 原始记录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_Toc29268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_Toc29173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1.4 计量单位</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_Toc29173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_Toc22500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 简写说明</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_Toc22500 \h </w:instrText>
          </w:r>
          <w:r>
            <w:rPr>
              <w:rFonts w:hint="eastAsia" w:ascii="宋体" w:hAnsi="宋体" w:eastAsia="宋体" w:cs="宋体"/>
              <w:color w:val="auto"/>
            </w:rPr>
            <w:fldChar w:fldCharType="separate"/>
          </w:r>
          <w:r>
            <w:rPr>
              <w:rFonts w:hint="eastAsia" w:ascii="宋体" w:hAnsi="宋体" w:eastAsia="宋体" w:cs="宋体"/>
              <w:color w:val="auto"/>
            </w:rPr>
            <w:t>3</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_Toc31636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1.6 判定标准及要点</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_Toc31636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_Toc17463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2 封面</w:t>
          </w:r>
          <w:r>
            <w:rPr>
              <w:color w:val="auto"/>
            </w:rPr>
            <w:tab/>
          </w:r>
          <w:r>
            <w:rPr>
              <w:color w:val="auto"/>
            </w:rPr>
            <w:fldChar w:fldCharType="begin"/>
          </w:r>
          <w:r>
            <w:rPr>
              <w:color w:val="auto"/>
            </w:rPr>
            <w:instrText xml:space="preserve"> PAGEREF _Toc17463 \h </w:instrText>
          </w:r>
          <w:r>
            <w:rPr>
              <w:color w:val="auto"/>
            </w:rPr>
            <w:fldChar w:fldCharType="separate"/>
          </w:r>
          <w:r>
            <w:rPr>
              <w:color w:val="auto"/>
            </w:rPr>
            <w:t>4</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_Toc29352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2.1 报告编号</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_Toc29352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_Toc9209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2.2 报告二维码</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_Toc9209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_Toc6411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2.3 项目名称</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_Toc6411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_Toc8688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2.4 项目地址</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_Toc8688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_Toc1378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2.5 委托单位</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_Toc1378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_Toc32092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2.6 检测机构</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_Toc32092 \h </w:instrText>
          </w:r>
          <w:r>
            <w:rPr>
              <w:rFonts w:hint="eastAsia" w:ascii="宋体" w:hAnsi="宋体" w:eastAsia="宋体" w:cs="宋体"/>
              <w:color w:val="auto"/>
            </w:rPr>
            <w:fldChar w:fldCharType="separate"/>
          </w:r>
          <w:r>
            <w:rPr>
              <w:rFonts w:hint="eastAsia" w:ascii="宋体" w:hAnsi="宋体" w:eastAsia="宋体" w:cs="宋体"/>
              <w:color w:val="auto"/>
            </w:rPr>
            <w:t>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_Toc6249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3 声明</w:t>
          </w:r>
          <w:r>
            <w:rPr>
              <w:color w:val="auto"/>
            </w:rPr>
            <w:tab/>
          </w:r>
          <w:r>
            <w:rPr>
              <w:color w:val="auto"/>
            </w:rPr>
            <w:fldChar w:fldCharType="begin"/>
          </w:r>
          <w:r>
            <w:rPr>
              <w:color w:val="auto"/>
            </w:rPr>
            <w:instrText xml:space="preserve"> PAGEREF _Toc6249 \h </w:instrText>
          </w:r>
          <w:r>
            <w:rPr>
              <w:color w:val="auto"/>
            </w:rPr>
            <w:fldChar w:fldCharType="separate"/>
          </w:r>
          <w:r>
            <w:rPr>
              <w:color w:val="auto"/>
            </w:rPr>
            <w:t>5</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_Toc16515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4 雷电防护装置检测报告总表</w:t>
          </w:r>
          <w:r>
            <w:rPr>
              <w:color w:val="auto"/>
            </w:rPr>
            <w:tab/>
          </w:r>
          <w:r>
            <w:rPr>
              <w:color w:val="auto"/>
            </w:rPr>
            <w:fldChar w:fldCharType="begin"/>
          </w:r>
          <w:r>
            <w:rPr>
              <w:color w:val="auto"/>
            </w:rPr>
            <w:instrText xml:space="preserve"> PAGEREF _Toc16515 \h </w:instrText>
          </w:r>
          <w:r>
            <w:rPr>
              <w:color w:val="auto"/>
            </w:rPr>
            <w:fldChar w:fldCharType="separate"/>
          </w:r>
          <w:r>
            <w:rPr>
              <w:color w:val="auto"/>
            </w:rPr>
            <w:t>5</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_Toc5607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4.1页码</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_Toc5607 \h </w:instrText>
          </w:r>
          <w:r>
            <w:rPr>
              <w:rFonts w:hint="eastAsia" w:ascii="宋体" w:hAnsi="宋体" w:eastAsia="宋体" w:cs="宋体"/>
              <w:color w:val="auto"/>
            </w:rPr>
            <w:fldChar w:fldCharType="separate"/>
          </w:r>
          <w:r>
            <w:rPr>
              <w:rFonts w:hint="eastAsia" w:ascii="宋体" w:hAnsi="宋体" w:eastAsia="宋体" w:cs="宋体"/>
              <w:color w:val="auto"/>
            </w:rPr>
            <w:t>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_Toc16470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4.2 检测项目列表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_Toc16470 \h </w:instrText>
          </w:r>
          <w:r>
            <w:rPr>
              <w:rFonts w:hint="eastAsia" w:ascii="宋体" w:hAnsi="宋体" w:eastAsia="宋体" w:cs="宋体"/>
              <w:color w:val="auto"/>
            </w:rPr>
            <w:fldChar w:fldCharType="separate"/>
          </w:r>
          <w:r>
            <w:rPr>
              <w:rFonts w:hint="eastAsia" w:ascii="宋体" w:hAnsi="宋体" w:eastAsia="宋体" w:cs="宋体"/>
              <w:color w:val="auto"/>
            </w:rPr>
            <w:t>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_Toc17957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4.3 本次检测时间</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_Toc17957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_Toc22168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4.4 下次检测时间</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_Toc22168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_Toc27660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4.5 检测机构</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_Toc27660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_Toc4596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4.6 签发人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_Toc4596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_Toc32099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5 雷电防护装置检测报告综述表</w:t>
          </w:r>
          <w:r>
            <w:rPr>
              <w:color w:val="auto"/>
            </w:rPr>
            <w:tab/>
          </w:r>
          <w:r>
            <w:rPr>
              <w:color w:val="auto"/>
            </w:rPr>
            <w:fldChar w:fldCharType="begin"/>
          </w:r>
          <w:r>
            <w:rPr>
              <w:color w:val="auto"/>
            </w:rPr>
            <w:instrText xml:space="preserve"> PAGEREF _Toc32099 \h </w:instrText>
          </w:r>
          <w:r>
            <w:rPr>
              <w:color w:val="auto"/>
            </w:rPr>
            <w:fldChar w:fldCharType="separate"/>
          </w:r>
          <w:r>
            <w:rPr>
              <w:color w:val="auto"/>
            </w:rPr>
            <w:t>6</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_Toc13266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5.1 隐蔽资料</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_Toc13266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_Toc13758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5.2 编制依据</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_Toc13758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_Toc20991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5.3 检测仪器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_Toc20991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_Toc8731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5.4 检测综合结论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_Toc8731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_Toc25181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5.5 检测机构</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_Toc25181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_Toc29254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5.6 年月日</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_Toc29254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_Toc26926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5.7 编制人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_Toc26926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_Toc1656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5.8 校核人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_Toc1656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_Toc1734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5.9 技术负责人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_Toc1734 \h </w:instrText>
          </w:r>
          <w:r>
            <w:rPr>
              <w:rFonts w:hint="eastAsia" w:ascii="宋体" w:hAnsi="宋体" w:eastAsia="宋体" w:cs="宋体"/>
              <w:color w:val="auto"/>
            </w:rPr>
            <w:fldChar w:fldCharType="separate"/>
          </w:r>
          <w:r>
            <w:rPr>
              <w:rFonts w:hint="eastAsia" w:ascii="宋体" w:hAnsi="宋体" w:eastAsia="宋体" w:cs="宋体"/>
              <w:color w:val="auto"/>
            </w:rPr>
            <w:t>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_Toc8907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6 雷电防护装置检测平面示意图</w:t>
          </w:r>
          <w:r>
            <w:rPr>
              <w:color w:val="auto"/>
            </w:rPr>
            <w:tab/>
          </w:r>
          <w:r>
            <w:rPr>
              <w:color w:val="auto"/>
            </w:rPr>
            <w:fldChar w:fldCharType="begin"/>
          </w:r>
          <w:r>
            <w:rPr>
              <w:color w:val="auto"/>
            </w:rPr>
            <w:instrText xml:space="preserve"> PAGEREF _Toc8907 \h </w:instrText>
          </w:r>
          <w:r>
            <w:rPr>
              <w:color w:val="auto"/>
            </w:rPr>
            <w:fldChar w:fldCharType="separate"/>
          </w:r>
          <w:r>
            <w:rPr>
              <w:color w:val="auto"/>
            </w:rPr>
            <w:t>9</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_Toc18331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7 雷电防护装置检测报告——检测点现场图示</w:t>
          </w:r>
          <w:r>
            <w:rPr>
              <w:color w:val="auto"/>
            </w:rPr>
            <w:tab/>
          </w:r>
          <w:r>
            <w:rPr>
              <w:color w:val="auto"/>
            </w:rPr>
            <w:fldChar w:fldCharType="begin"/>
          </w:r>
          <w:r>
            <w:rPr>
              <w:color w:val="auto"/>
            </w:rPr>
            <w:instrText xml:space="preserve"> PAGEREF _Toc18331 \h </w:instrText>
          </w:r>
          <w:r>
            <w:rPr>
              <w:color w:val="auto"/>
            </w:rPr>
            <w:fldChar w:fldCharType="separate"/>
          </w:r>
          <w:r>
            <w:rPr>
              <w:color w:val="auto"/>
            </w:rPr>
            <w:t>14</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_Toc16254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8 建筑物雷电防护装置检测报告表</w:t>
          </w:r>
          <w:r>
            <w:rPr>
              <w:color w:val="auto"/>
            </w:rPr>
            <w:tab/>
          </w:r>
          <w:r>
            <w:rPr>
              <w:color w:val="auto"/>
            </w:rPr>
            <w:fldChar w:fldCharType="begin"/>
          </w:r>
          <w:r>
            <w:rPr>
              <w:color w:val="auto"/>
            </w:rPr>
            <w:instrText xml:space="preserve"> PAGEREF _Toc16254 \h </w:instrText>
          </w:r>
          <w:r>
            <w:rPr>
              <w:color w:val="auto"/>
            </w:rPr>
            <w:fldChar w:fldCharType="separate"/>
          </w:r>
          <w:r>
            <w:rPr>
              <w:color w:val="auto"/>
            </w:rPr>
            <w:t>14</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_Toc29200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 单体编号</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_Toc29200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_Toc25625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8.2 单体名称</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_Toc25625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_Toc10100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8.3 天气情况</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_Toc10100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_Toc11504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8.4 使用性质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_Toc11504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_Toc6660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8.5 防雷分类</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_Toc6660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_Toc21921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8.6 类别判定依据</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_Toc21921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_Toc26611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8.7 建筑物信息</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_Toc26611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_Toc14449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8.8 检测时间</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_Toc14449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_Toc27592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8.9 防雷区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_Toc27592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_Toc29120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8.10 接闪装置</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_Toc29120 \h </w:instrText>
          </w:r>
          <w:r>
            <w:rPr>
              <w:rFonts w:hint="eastAsia" w:ascii="宋体" w:hAnsi="宋体" w:eastAsia="宋体" w:cs="宋体"/>
              <w:color w:val="auto"/>
            </w:rPr>
            <w:fldChar w:fldCharType="separate"/>
          </w:r>
          <w:r>
            <w:rPr>
              <w:rFonts w:hint="eastAsia" w:ascii="宋体" w:hAnsi="宋体" w:eastAsia="宋体" w:cs="宋体"/>
              <w:color w:val="auto"/>
            </w:rPr>
            <w:t>15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_Toc5264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8.11 引下装置</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_Toc5264 \h </w:instrText>
          </w:r>
          <w:r>
            <w:rPr>
              <w:rFonts w:hint="eastAsia" w:ascii="宋体" w:hAnsi="宋体" w:eastAsia="宋体" w:cs="宋体"/>
              <w:color w:val="auto"/>
            </w:rPr>
            <w:fldChar w:fldCharType="separate"/>
          </w:r>
          <w:r>
            <w:rPr>
              <w:rFonts w:hint="eastAsia" w:ascii="宋体" w:hAnsi="宋体" w:eastAsia="宋体" w:cs="宋体"/>
              <w:color w:val="auto"/>
            </w:rPr>
            <w:t>20</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_Toc4073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8.12 接地装置</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_Toc4073 \h </w:instrText>
          </w:r>
          <w:r>
            <w:rPr>
              <w:rFonts w:hint="eastAsia" w:ascii="宋体" w:hAnsi="宋体" w:eastAsia="宋体" w:cs="宋体"/>
              <w:color w:val="auto"/>
            </w:rPr>
            <w:fldChar w:fldCharType="separate"/>
          </w:r>
          <w:r>
            <w:rPr>
              <w:rFonts w:hint="eastAsia" w:ascii="宋体" w:hAnsi="宋体" w:eastAsia="宋体" w:cs="宋体"/>
              <w:color w:val="auto"/>
            </w:rPr>
            <w:t>24</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_Toc11443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8.13 磁屏蔽</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_Toc11443 \h </w:instrText>
          </w:r>
          <w:r>
            <w:rPr>
              <w:rFonts w:hint="eastAsia" w:ascii="宋体" w:hAnsi="宋体" w:eastAsia="宋体" w:cs="宋体"/>
              <w:color w:val="auto"/>
            </w:rPr>
            <w:fldChar w:fldCharType="separate"/>
          </w:r>
          <w:r>
            <w:rPr>
              <w:rFonts w:hint="eastAsia" w:ascii="宋体" w:hAnsi="宋体" w:eastAsia="宋体" w:cs="宋体"/>
              <w:color w:val="auto"/>
            </w:rPr>
            <w:t>28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_Toc15172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8.14 防雷等电位连接</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_Toc15172 \h </w:instrText>
          </w:r>
          <w:r>
            <w:rPr>
              <w:rFonts w:hint="eastAsia" w:ascii="宋体" w:hAnsi="宋体" w:eastAsia="宋体" w:cs="宋体"/>
              <w:color w:val="auto"/>
            </w:rPr>
            <w:fldChar w:fldCharType="separate"/>
          </w:r>
          <w:r>
            <w:rPr>
              <w:rFonts w:hint="eastAsia" w:ascii="宋体" w:hAnsi="宋体" w:eastAsia="宋体" w:cs="宋体"/>
              <w:color w:val="auto"/>
            </w:rPr>
            <w:t>29</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_Toc27765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8.15 电涌保护器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_Toc27765 \h </w:instrText>
          </w:r>
          <w:r>
            <w:rPr>
              <w:rFonts w:hint="eastAsia" w:ascii="宋体" w:hAnsi="宋体" w:eastAsia="宋体" w:cs="宋体"/>
              <w:color w:val="auto"/>
            </w:rPr>
            <w:fldChar w:fldCharType="separate"/>
          </w:r>
          <w:r>
            <w:rPr>
              <w:rFonts w:hint="eastAsia" w:ascii="宋体" w:hAnsi="宋体" w:eastAsia="宋体" w:cs="宋体"/>
              <w:color w:val="auto"/>
            </w:rPr>
            <w:t>32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_Toc24362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9 检测结果及判定</w:t>
          </w:r>
          <w:r>
            <w:rPr>
              <w:color w:val="auto"/>
            </w:rPr>
            <w:tab/>
          </w:r>
          <w:r>
            <w:rPr>
              <w:color w:val="auto"/>
            </w:rPr>
            <w:fldChar w:fldCharType="begin"/>
          </w:r>
          <w:r>
            <w:rPr>
              <w:color w:val="auto"/>
            </w:rPr>
            <w:instrText xml:space="preserve"> PAGEREF _Toc24362 \h </w:instrText>
          </w:r>
          <w:r>
            <w:rPr>
              <w:color w:val="auto"/>
            </w:rPr>
            <w:fldChar w:fldCharType="separate"/>
          </w:r>
          <w:r>
            <w:rPr>
              <w:color w:val="auto"/>
            </w:rPr>
            <w:t>37</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_Toc23904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9.1 检测结果</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_Toc23904 \h </w:instrText>
          </w:r>
          <w:r>
            <w:rPr>
              <w:rFonts w:hint="eastAsia" w:ascii="宋体" w:hAnsi="宋体" w:eastAsia="宋体" w:cs="宋体"/>
              <w:color w:val="auto"/>
            </w:rPr>
            <w:fldChar w:fldCharType="separate"/>
          </w:r>
          <w:r>
            <w:rPr>
              <w:rFonts w:hint="eastAsia" w:ascii="宋体" w:hAnsi="宋体" w:eastAsia="宋体" w:cs="宋体"/>
              <w:color w:val="auto"/>
            </w:rPr>
            <w:t>37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_Toc25644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9.2 判定结论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_Toc25644 \h </w:instrText>
          </w:r>
          <w:r>
            <w:rPr>
              <w:rFonts w:hint="eastAsia" w:ascii="宋体" w:hAnsi="宋体" w:eastAsia="宋体" w:cs="宋体"/>
              <w:color w:val="auto"/>
            </w:rPr>
            <w:fldChar w:fldCharType="separate"/>
          </w:r>
          <w:r>
            <w:rPr>
              <w:rFonts w:hint="eastAsia" w:ascii="宋体" w:hAnsi="宋体" w:eastAsia="宋体" w:cs="宋体"/>
              <w:color w:val="auto"/>
            </w:rPr>
            <w:t>37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_Toc32306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10 技术评定</w:t>
          </w:r>
          <w:r>
            <w:rPr>
              <w:color w:val="auto"/>
            </w:rPr>
            <w:tab/>
          </w:r>
          <w:r>
            <w:rPr>
              <w:color w:val="auto"/>
            </w:rPr>
            <w:fldChar w:fldCharType="begin"/>
          </w:r>
          <w:r>
            <w:rPr>
              <w:color w:val="auto"/>
            </w:rPr>
            <w:instrText xml:space="preserve"> PAGEREF _Toc32306 \h </w:instrText>
          </w:r>
          <w:r>
            <w:rPr>
              <w:color w:val="auto"/>
            </w:rPr>
            <w:fldChar w:fldCharType="separate"/>
          </w:r>
          <w:r>
            <w:rPr>
              <w:color w:val="auto"/>
            </w:rPr>
            <w:t>37</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_Toc19668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10.1 技术评定</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_Toc19668 \h </w:instrText>
          </w:r>
          <w:r>
            <w:rPr>
              <w:rFonts w:hint="eastAsia" w:ascii="宋体" w:hAnsi="宋体" w:eastAsia="宋体" w:cs="宋体"/>
              <w:color w:val="auto"/>
            </w:rPr>
            <w:fldChar w:fldCharType="separate"/>
          </w:r>
          <w:r>
            <w:rPr>
              <w:rFonts w:hint="eastAsia" w:ascii="宋体" w:hAnsi="宋体" w:eastAsia="宋体" w:cs="宋体"/>
              <w:color w:val="auto"/>
            </w:rPr>
            <w:t>37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_Toc21249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10.2 检测专用章</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_Toc21249 \h </w:instrText>
          </w:r>
          <w:r>
            <w:rPr>
              <w:rFonts w:hint="eastAsia" w:ascii="宋体" w:hAnsi="宋体" w:eastAsia="宋体" w:cs="宋体"/>
              <w:color w:val="auto"/>
            </w:rPr>
            <w:fldChar w:fldCharType="separate"/>
          </w:r>
          <w:r>
            <w:rPr>
              <w:rFonts w:hint="eastAsia" w:ascii="宋体" w:hAnsi="宋体" w:eastAsia="宋体" w:cs="宋体"/>
              <w:color w:val="auto"/>
            </w:rPr>
            <w:t>37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_Toc20911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10.3 年月日</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_Toc20911 \h </w:instrText>
          </w:r>
          <w:r>
            <w:rPr>
              <w:rFonts w:hint="eastAsia" w:ascii="宋体" w:hAnsi="宋体" w:eastAsia="宋体" w:cs="宋体"/>
              <w:color w:val="auto"/>
            </w:rPr>
            <w:fldChar w:fldCharType="separate"/>
          </w:r>
          <w:r>
            <w:rPr>
              <w:rFonts w:hint="eastAsia" w:ascii="宋体" w:hAnsi="宋体" w:eastAsia="宋体" w:cs="宋体"/>
              <w:color w:val="auto"/>
            </w:rPr>
            <w:t>38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_Toc11186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10.4 检测人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_Toc11186 \h </w:instrText>
          </w:r>
          <w:r>
            <w:rPr>
              <w:rFonts w:hint="eastAsia" w:ascii="宋体" w:hAnsi="宋体" w:eastAsia="宋体" w:cs="宋体"/>
              <w:color w:val="auto"/>
            </w:rPr>
            <w:fldChar w:fldCharType="separate"/>
          </w:r>
          <w:r>
            <w:rPr>
              <w:rFonts w:hint="eastAsia" w:ascii="宋体" w:hAnsi="宋体" w:eastAsia="宋体" w:cs="宋体"/>
              <w:color w:val="auto"/>
            </w:rPr>
            <w:t>38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_Toc15989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10.5 校核人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_Toc15989 \h </w:instrText>
          </w:r>
          <w:r>
            <w:rPr>
              <w:rFonts w:hint="eastAsia" w:ascii="宋体" w:hAnsi="宋体" w:eastAsia="宋体" w:cs="宋体"/>
              <w:color w:val="auto"/>
            </w:rPr>
            <w:fldChar w:fldCharType="separate"/>
          </w:r>
          <w:r>
            <w:rPr>
              <w:rFonts w:hint="eastAsia" w:ascii="宋体" w:hAnsi="宋体" w:eastAsia="宋体" w:cs="宋体"/>
              <w:color w:val="auto"/>
            </w:rPr>
            <w:t>38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_Toc31478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10.6 技术负责人</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_Toc31478 \h </w:instrText>
          </w:r>
          <w:r>
            <w:rPr>
              <w:rFonts w:hint="eastAsia" w:ascii="宋体" w:hAnsi="宋体" w:eastAsia="宋体" w:cs="宋体"/>
              <w:color w:val="auto"/>
            </w:rPr>
            <w:fldChar w:fldCharType="separate"/>
          </w:r>
          <w:r>
            <w:rPr>
              <w:rFonts w:hint="eastAsia" w:ascii="宋体" w:hAnsi="宋体" w:eastAsia="宋体" w:cs="宋体"/>
              <w:color w:val="auto"/>
            </w:rPr>
            <w:t>38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_Toc8576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11 附表</w:t>
          </w:r>
          <w:r>
            <w:rPr>
              <w:color w:val="auto"/>
            </w:rPr>
            <w:tab/>
          </w:r>
          <w:r>
            <w:rPr>
              <w:color w:val="auto"/>
            </w:rPr>
            <w:fldChar w:fldCharType="begin"/>
          </w:r>
          <w:r>
            <w:rPr>
              <w:color w:val="auto"/>
            </w:rPr>
            <w:instrText xml:space="preserve"> PAGEREF _Toc8576 \h </w:instrText>
          </w:r>
          <w:r>
            <w:rPr>
              <w:color w:val="auto"/>
            </w:rPr>
            <w:fldChar w:fldCharType="separate"/>
          </w:r>
          <w:r>
            <w:rPr>
              <w:color w:val="auto"/>
            </w:rPr>
            <w:t>38</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_Toc10861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11.1 附表a</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_Toc10861 \h </w:instrText>
          </w:r>
          <w:r>
            <w:rPr>
              <w:rFonts w:hint="eastAsia" w:ascii="宋体" w:hAnsi="宋体" w:eastAsia="宋体" w:cs="宋体"/>
              <w:color w:val="auto"/>
            </w:rPr>
            <w:fldChar w:fldCharType="separate"/>
          </w:r>
          <w:r>
            <w:rPr>
              <w:rFonts w:hint="eastAsia" w:ascii="宋体" w:hAnsi="宋体" w:eastAsia="宋体" w:cs="宋体"/>
              <w:color w:val="auto"/>
            </w:rPr>
            <w:t>38</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_Toc10229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11.2 附表b</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_Toc10229 \h </w:instrText>
          </w:r>
          <w:r>
            <w:rPr>
              <w:rFonts w:hint="eastAsia" w:ascii="宋体" w:hAnsi="宋体" w:eastAsia="宋体" w:cs="宋体"/>
              <w:color w:val="auto"/>
            </w:rPr>
            <w:fldChar w:fldCharType="separate"/>
          </w:r>
          <w:r>
            <w:rPr>
              <w:rFonts w:hint="eastAsia" w:ascii="宋体" w:hAnsi="宋体" w:eastAsia="宋体" w:cs="宋体"/>
              <w:color w:val="auto"/>
            </w:rPr>
            <w:t>39</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_Toc31903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12 雷电防护装置安全问题隐患现场照片及说明</w:t>
          </w:r>
          <w:r>
            <w:rPr>
              <w:color w:val="auto"/>
            </w:rPr>
            <w:tab/>
          </w:r>
          <w:r>
            <w:rPr>
              <w:color w:val="auto"/>
            </w:rPr>
            <w:fldChar w:fldCharType="begin"/>
          </w:r>
          <w:r>
            <w:rPr>
              <w:color w:val="auto"/>
            </w:rPr>
            <w:instrText xml:space="preserve"> PAGEREF _Toc31903 \h </w:instrText>
          </w:r>
          <w:r>
            <w:rPr>
              <w:color w:val="auto"/>
            </w:rPr>
            <w:fldChar w:fldCharType="separate"/>
          </w:r>
          <w:r>
            <w:rPr>
              <w:color w:val="auto"/>
            </w:rPr>
            <w:t>39</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_Toc5201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13 参与本项目雷电防护装置检测人员相关证件</w:t>
          </w:r>
          <w:r>
            <w:rPr>
              <w:color w:val="auto"/>
            </w:rPr>
            <w:tab/>
          </w:r>
          <w:r>
            <w:rPr>
              <w:color w:val="auto"/>
            </w:rPr>
            <w:fldChar w:fldCharType="begin"/>
          </w:r>
          <w:r>
            <w:rPr>
              <w:color w:val="auto"/>
            </w:rPr>
            <w:instrText xml:space="preserve"> PAGEREF _Toc5201 \h </w:instrText>
          </w:r>
          <w:r>
            <w:rPr>
              <w:color w:val="auto"/>
            </w:rPr>
            <w:fldChar w:fldCharType="separate"/>
          </w:r>
          <w:r>
            <w:rPr>
              <w:color w:val="auto"/>
            </w:rPr>
            <w:t>41</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_Toc21472 </w:instrText>
          </w:r>
          <w:r>
            <w:rPr>
              <w:rFonts w:hint="default" w:ascii="Times New Roman" w:hAnsi="Times New Roman" w:eastAsia="等线 Light" w:cs="Times New Roman"/>
              <w:color w:val="auto"/>
              <w:szCs w:val="28"/>
            </w:rPr>
            <w:fldChar w:fldCharType="separate"/>
          </w:r>
          <w:r>
            <w:rPr>
              <w:rFonts w:hint="eastAsia" w:ascii="Times New Roman" w:hAnsi="Times New Roman" w:eastAsia="黑体" w:cs="Times New Roman"/>
              <w:color w:val="auto"/>
              <w:szCs w:val="32"/>
              <w:lang w:val="en-US" w:eastAsia="zh-CN"/>
            </w:rPr>
            <w:t>14 附页</w:t>
          </w:r>
          <w:r>
            <w:rPr>
              <w:color w:val="auto"/>
            </w:rPr>
            <w:tab/>
          </w:r>
          <w:r>
            <w:rPr>
              <w:color w:val="auto"/>
            </w:rPr>
            <w:fldChar w:fldCharType="begin"/>
          </w:r>
          <w:r>
            <w:rPr>
              <w:color w:val="auto"/>
            </w:rPr>
            <w:instrText xml:space="preserve"> PAGEREF _Toc21472 \h </w:instrText>
          </w:r>
          <w:r>
            <w:rPr>
              <w:color w:val="auto"/>
            </w:rPr>
            <w:fldChar w:fldCharType="separate"/>
          </w:r>
          <w:r>
            <w:rPr>
              <w:color w:val="auto"/>
            </w:rPr>
            <w:t>42</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_Toc27186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w:t>
          </w:r>
          <w:r>
            <w:rPr>
              <w:rFonts w:hint="eastAsia" w:eastAsia="黑体" w:cs="Times New Roman"/>
              <w:color w:val="auto"/>
              <w:szCs w:val="32"/>
              <w:lang w:val="en-US" w:eastAsia="zh-CN"/>
            </w:rPr>
            <w:t>5</w:t>
          </w:r>
          <w:r>
            <w:rPr>
              <w:rFonts w:hint="default" w:ascii="Times New Roman" w:hAnsi="Times New Roman" w:eastAsia="黑体" w:cs="Times New Roman"/>
              <w:color w:val="auto"/>
              <w:szCs w:val="32"/>
              <w:lang w:val="en-US" w:eastAsia="zh-CN"/>
            </w:rPr>
            <w:t xml:space="preserve"> 专业模板</w:t>
          </w:r>
          <w:r>
            <w:rPr>
              <w:color w:val="auto"/>
            </w:rPr>
            <w:tab/>
          </w:r>
          <w:r>
            <w:rPr>
              <w:color w:val="auto"/>
            </w:rPr>
            <w:fldChar w:fldCharType="begin"/>
          </w:r>
          <w:r>
            <w:rPr>
              <w:color w:val="auto"/>
            </w:rPr>
            <w:instrText xml:space="preserve"> PAGEREF _Toc27186 \h </w:instrText>
          </w:r>
          <w:r>
            <w:rPr>
              <w:color w:val="auto"/>
            </w:rPr>
            <w:fldChar w:fldCharType="separate"/>
          </w:r>
          <w:r>
            <w:rPr>
              <w:color w:val="auto"/>
            </w:rPr>
            <w:t>42</w:t>
          </w:r>
          <w:r>
            <w:rPr>
              <w:color w:val="auto"/>
            </w:rPr>
            <w:fldChar w:fldCharType="end"/>
          </w:r>
          <w:r>
            <w:rPr>
              <w:rFonts w:hint="default" w:ascii="Times New Roman" w:hAnsi="Times New Roman" w:eastAsia="等线 Light" w:cs="Times New Roman"/>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_Toc11630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15.1 数据中心雷电防护装置检测报告表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_Toc11630 \h </w:instrText>
          </w:r>
          <w:r>
            <w:rPr>
              <w:rFonts w:hint="eastAsia" w:ascii="宋体" w:hAnsi="宋体" w:eastAsia="宋体" w:cs="宋体"/>
              <w:color w:val="auto"/>
            </w:rPr>
            <w:fldChar w:fldCharType="separate"/>
          </w:r>
          <w:r>
            <w:rPr>
              <w:rFonts w:hint="eastAsia" w:ascii="宋体" w:hAnsi="宋体" w:eastAsia="宋体" w:cs="宋体"/>
              <w:color w:val="auto"/>
            </w:rPr>
            <w:t>42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_Toc406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15.2 加油（气）站雷电防护装置检测报告表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_Toc406 \h </w:instrText>
          </w:r>
          <w:r>
            <w:rPr>
              <w:rFonts w:hint="eastAsia" w:ascii="宋体" w:hAnsi="宋体" w:eastAsia="宋体" w:cs="宋体"/>
              <w:color w:val="auto"/>
            </w:rPr>
            <w:fldChar w:fldCharType="separate"/>
          </w:r>
          <w:r>
            <w:rPr>
              <w:rFonts w:hint="eastAsia" w:ascii="宋体" w:hAnsi="宋体" w:eastAsia="宋体" w:cs="宋体"/>
              <w:color w:val="auto"/>
            </w:rPr>
            <w:t>43</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_Toc23098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15.3 石油库雷电防护装置检测报告表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_Toc23098 \h </w:instrText>
          </w:r>
          <w:r>
            <w:rPr>
              <w:rFonts w:hint="eastAsia" w:ascii="宋体" w:hAnsi="宋体" w:eastAsia="宋体" w:cs="宋体"/>
              <w:color w:val="auto"/>
            </w:rPr>
            <w:fldChar w:fldCharType="separate"/>
          </w:r>
          <w:r>
            <w:rPr>
              <w:rFonts w:hint="eastAsia" w:ascii="宋体" w:hAnsi="宋体" w:eastAsia="宋体" w:cs="宋体"/>
              <w:color w:val="auto"/>
            </w:rPr>
            <w:t>45</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_Toc1255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15.4 通信局站（基站）雷电防护装置检测报告表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_Toc1255 \h </w:instrText>
          </w:r>
          <w:r>
            <w:rPr>
              <w:rFonts w:hint="eastAsia" w:ascii="宋体" w:hAnsi="宋体" w:eastAsia="宋体" w:cs="宋体"/>
              <w:color w:val="auto"/>
            </w:rPr>
            <w:fldChar w:fldCharType="separate"/>
          </w:r>
          <w:r>
            <w:rPr>
              <w:rFonts w:hint="eastAsia" w:ascii="宋体" w:hAnsi="宋体" w:eastAsia="宋体" w:cs="宋体"/>
              <w:color w:val="auto"/>
            </w:rPr>
            <w:t>46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_Toc2880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15.5 大型浮顶油罐雷电防护装置检测报告表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_Toc2880 \h </w:instrText>
          </w:r>
          <w:r>
            <w:rPr>
              <w:rFonts w:hint="eastAsia" w:ascii="宋体" w:hAnsi="宋体" w:eastAsia="宋体" w:cs="宋体"/>
              <w:color w:val="auto"/>
            </w:rPr>
            <w:fldChar w:fldCharType="separate"/>
          </w:r>
          <w:r>
            <w:rPr>
              <w:rFonts w:hint="eastAsia" w:ascii="宋体" w:hAnsi="宋体" w:eastAsia="宋体" w:cs="宋体"/>
              <w:color w:val="auto"/>
            </w:rPr>
            <w:t>46</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_Toc14475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15.6 输油（气）管道雷电防护装置检测报告表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_Toc14475 \h </w:instrText>
          </w:r>
          <w:r>
            <w:rPr>
              <w:rFonts w:hint="eastAsia" w:ascii="宋体" w:hAnsi="宋体" w:eastAsia="宋体" w:cs="宋体"/>
              <w:color w:val="auto"/>
            </w:rPr>
            <w:fldChar w:fldCharType="separate"/>
          </w:r>
          <w:r>
            <w:rPr>
              <w:rFonts w:hint="eastAsia" w:ascii="宋体" w:hAnsi="宋体" w:eastAsia="宋体" w:cs="宋体"/>
              <w:color w:val="auto"/>
            </w:rPr>
            <w:t>47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_Toc13657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15.7 石油化工雷电防护装置检测报告表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_Toc13657 \h </w:instrText>
          </w:r>
          <w:r>
            <w:rPr>
              <w:rFonts w:hint="eastAsia" w:ascii="宋体" w:hAnsi="宋体" w:eastAsia="宋体" w:cs="宋体"/>
              <w:color w:val="auto"/>
            </w:rPr>
            <w:fldChar w:fldCharType="separate"/>
          </w:r>
          <w:r>
            <w:rPr>
              <w:rFonts w:hint="eastAsia" w:ascii="宋体" w:hAnsi="宋体" w:eastAsia="宋体" w:cs="宋体"/>
              <w:color w:val="auto"/>
            </w:rPr>
            <w:t>47</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_Toc8146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15.8 液化石油气瓶装供应站雷电防护装置检测报告表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_Toc8146 \h </w:instrText>
          </w:r>
          <w:r>
            <w:rPr>
              <w:rFonts w:hint="eastAsia" w:ascii="宋体" w:hAnsi="宋体" w:eastAsia="宋体" w:cs="宋体"/>
              <w:color w:val="auto"/>
            </w:rPr>
            <w:fldChar w:fldCharType="separate"/>
          </w:r>
          <w:r>
            <w:rPr>
              <w:rFonts w:hint="eastAsia" w:ascii="宋体" w:hAnsi="宋体" w:eastAsia="宋体" w:cs="宋体"/>
              <w:color w:val="auto"/>
            </w:rPr>
            <w:t>51</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_Toc12525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15.9 煤炭矿区雷电防护装置检测报告表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_Toc12525 \h </w:instrText>
          </w:r>
          <w:r>
            <w:rPr>
              <w:rFonts w:hint="eastAsia" w:ascii="宋体" w:hAnsi="宋体" w:eastAsia="宋体" w:cs="宋体"/>
              <w:color w:val="auto"/>
            </w:rPr>
            <w:fldChar w:fldCharType="separate"/>
          </w:r>
          <w:r>
            <w:rPr>
              <w:rFonts w:hint="eastAsia" w:ascii="宋体" w:hAnsi="宋体" w:eastAsia="宋体" w:cs="宋体"/>
              <w:color w:val="auto"/>
            </w:rPr>
            <w:t>52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_Toc29304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15.10 旅游景区雷电防护装置检测报告表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_Toc29304 \h </w:instrText>
          </w:r>
          <w:r>
            <w:rPr>
              <w:rFonts w:hint="eastAsia" w:ascii="宋体" w:hAnsi="宋体" w:eastAsia="宋体" w:cs="宋体"/>
              <w:color w:val="auto"/>
            </w:rPr>
            <w:fldChar w:fldCharType="separate"/>
          </w:r>
          <w:r>
            <w:rPr>
              <w:rFonts w:hint="eastAsia" w:ascii="宋体" w:hAnsi="宋体" w:eastAsia="宋体" w:cs="宋体"/>
              <w:color w:val="auto"/>
            </w:rPr>
            <w:t>52</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_Toc23540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15.11 风力发电机组雷电防护装置检测报告表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_Toc23540 \h </w:instrText>
          </w:r>
          <w:r>
            <w:rPr>
              <w:rFonts w:hint="eastAsia" w:ascii="宋体" w:hAnsi="宋体" w:eastAsia="宋体" w:cs="宋体"/>
              <w:color w:val="auto"/>
            </w:rPr>
            <w:fldChar w:fldCharType="separate"/>
          </w:r>
          <w:r>
            <w:rPr>
              <w:rFonts w:hint="eastAsia" w:ascii="宋体" w:hAnsi="宋体" w:eastAsia="宋体" w:cs="宋体"/>
              <w:color w:val="auto"/>
            </w:rPr>
            <w:t>53</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2"/>
            <w:keepNext w:val="0"/>
            <w:keepLines w:val="0"/>
            <w:pageBreakBefore w:val="0"/>
            <w:widowControl w:val="0"/>
            <w:tabs>
              <w:tab w:val="right" w:leader="dot" w:pos="9094"/>
              <w:tab w:val="clear" w:pos="8296"/>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rPr>
          </w:pPr>
          <w:r>
            <w:rPr>
              <w:rFonts w:hint="eastAsia" w:ascii="宋体" w:hAnsi="宋体" w:eastAsia="宋体" w:cs="宋体"/>
              <w:color w:val="auto"/>
              <w:szCs w:val="28"/>
            </w:rPr>
            <w:fldChar w:fldCharType="begin"/>
          </w:r>
          <w:r>
            <w:rPr>
              <w:rFonts w:hint="eastAsia" w:ascii="宋体" w:hAnsi="宋体" w:eastAsia="宋体" w:cs="宋体"/>
              <w:color w:val="auto"/>
              <w:szCs w:val="28"/>
            </w:rPr>
            <w:instrText xml:space="preserve"> HYPERLINK \l _Toc12054 </w:instrText>
          </w:r>
          <w:r>
            <w:rPr>
              <w:rFonts w:hint="eastAsia" w:ascii="宋体" w:hAnsi="宋体" w:eastAsia="宋体" w:cs="宋体"/>
              <w:color w:val="auto"/>
              <w:szCs w:val="28"/>
            </w:rPr>
            <w:fldChar w:fldCharType="separate"/>
          </w:r>
          <w:r>
            <w:rPr>
              <w:rFonts w:hint="eastAsia" w:ascii="宋体" w:hAnsi="宋体" w:eastAsia="宋体" w:cs="宋体"/>
              <w:color w:val="auto"/>
              <w:lang w:val="en-US" w:eastAsia="zh-CN"/>
            </w:rPr>
            <w:t>15.12 太阳能光伏系统雷电防护装置检测报告表</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_Toc12054 \h </w:instrText>
          </w:r>
          <w:r>
            <w:rPr>
              <w:rFonts w:hint="eastAsia" w:ascii="宋体" w:hAnsi="宋体" w:eastAsia="宋体" w:cs="宋体"/>
              <w:color w:val="auto"/>
            </w:rPr>
            <w:fldChar w:fldCharType="separate"/>
          </w:r>
          <w:r>
            <w:rPr>
              <w:rFonts w:hint="eastAsia" w:ascii="宋体" w:hAnsi="宋体" w:eastAsia="宋体" w:cs="宋体"/>
              <w:color w:val="auto"/>
            </w:rPr>
            <w:t>53</w:t>
          </w:r>
          <w:r>
            <w:rPr>
              <w:rFonts w:hint="eastAsia" w:ascii="宋体" w:hAnsi="宋体" w:eastAsia="宋体" w:cs="宋体"/>
              <w:color w:val="auto"/>
            </w:rPr>
            <w:fldChar w:fldCharType="end"/>
          </w:r>
          <w:r>
            <w:rPr>
              <w:rFonts w:hint="eastAsia" w:ascii="宋体" w:hAnsi="宋体" w:eastAsia="宋体" w:cs="宋体"/>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_Toc31005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w:t>
          </w:r>
          <w:r>
            <w:rPr>
              <w:rFonts w:hint="eastAsia" w:eastAsia="黑体" w:cs="Times New Roman"/>
              <w:color w:val="auto"/>
              <w:szCs w:val="32"/>
              <w:lang w:val="en-US" w:eastAsia="zh-CN"/>
            </w:rPr>
            <w:t>6</w:t>
          </w:r>
          <w:r>
            <w:rPr>
              <w:rFonts w:hint="default" w:ascii="Times New Roman" w:hAnsi="Times New Roman" w:eastAsia="黑体" w:cs="Times New Roman"/>
              <w:color w:val="auto"/>
              <w:szCs w:val="32"/>
              <w:lang w:val="en-US" w:eastAsia="zh-CN"/>
            </w:rPr>
            <w:t xml:space="preserve"> 其他</w:t>
          </w:r>
          <w:r>
            <w:rPr>
              <w:color w:val="auto"/>
            </w:rPr>
            <w:tab/>
          </w:r>
          <w:r>
            <w:rPr>
              <w:color w:val="auto"/>
            </w:rPr>
            <w:fldChar w:fldCharType="begin"/>
          </w:r>
          <w:r>
            <w:rPr>
              <w:color w:val="auto"/>
            </w:rPr>
            <w:instrText xml:space="preserve"> PAGEREF _Toc31005 \h </w:instrText>
          </w:r>
          <w:r>
            <w:rPr>
              <w:color w:val="auto"/>
            </w:rPr>
            <w:fldChar w:fldCharType="separate"/>
          </w:r>
          <w:r>
            <w:rPr>
              <w:color w:val="auto"/>
            </w:rPr>
            <w:t>54</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_Toc14899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w:t>
          </w:r>
          <w:r>
            <w:rPr>
              <w:rFonts w:hint="eastAsia" w:eastAsia="黑体" w:cs="Times New Roman"/>
              <w:color w:val="auto"/>
              <w:szCs w:val="32"/>
              <w:lang w:val="en-US" w:eastAsia="zh-CN"/>
            </w:rPr>
            <w:t>7</w:t>
          </w:r>
          <w:r>
            <w:rPr>
              <w:rFonts w:hint="default" w:ascii="Times New Roman" w:hAnsi="Times New Roman" w:eastAsia="黑体" w:cs="Times New Roman"/>
              <w:color w:val="auto"/>
              <w:szCs w:val="32"/>
              <w:lang w:val="en-US" w:eastAsia="zh-CN"/>
            </w:rPr>
            <w:t xml:space="preserve"> 检测项目及方法</w:t>
          </w:r>
          <w:r>
            <w:rPr>
              <w:color w:val="auto"/>
            </w:rPr>
            <w:tab/>
          </w:r>
          <w:r>
            <w:rPr>
              <w:color w:val="auto"/>
            </w:rPr>
            <w:fldChar w:fldCharType="begin"/>
          </w:r>
          <w:r>
            <w:rPr>
              <w:color w:val="auto"/>
            </w:rPr>
            <w:instrText xml:space="preserve"> PAGEREF _Toc14899 \h </w:instrText>
          </w:r>
          <w:r>
            <w:rPr>
              <w:color w:val="auto"/>
            </w:rPr>
            <w:fldChar w:fldCharType="separate"/>
          </w:r>
          <w:r>
            <w:rPr>
              <w:color w:val="auto"/>
            </w:rPr>
            <w:t>54</w:t>
          </w:r>
          <w:r>
            <w:rPr>
              <w:color w:val="auto"/>
            </w:rPr>
            <w:fldChar w:fldCharType="end"/>
          </w:r>
          <w:r>
            <w:rPr>
              <w:rFonts w:hint="default" w:ascii="Times New Roman" w:hAnsi="Times New Roman" w:eastAsia="等线 Light" w:cs="Times New Roman"/>
              <w:color w:val="auto"/>
              <w:szCs w:val="28"/>
            </w:rPr>
            <w:fldChar w:fldCharType="end"/>
          </w:r>
        </w:p>
        <w:p>
          <w:pPr>
            <w:pStyle w:val="11"/>
            <w:keepNext w:val="0"/>
            <w:keepLines w:val="0"/>
            <w:pageBreakBefore w:val="0"/>
            <w:widowControl w:val="0"/>
            <w:tabs>
              <w:tab w:val="right" w:leader="dot" w:pos="9094"/>
            </w:tabs>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等线 Light" w:cs="Times New Roman"/>
              <w:color w:val="auto"/>
              <w:szCs w:val="28"/>
            </w:rPr>
            <w:fldChar w:fldCharType="begin"/>
          </w:r>
          <w:r>
            <w:rPr>
              <w:rFonts w:hint="default" w:ascii="Times New Roman" w:hAnsi="Times New Roman" w:eastAsia="等线 Light" w:cs="Times New Roman"/>
              <w:color w:val="auto"/>
              <w:szCs w:val="28"/>
            </w:rPr>
            <w:instrText xml:space="preserve"> HYPERLINK \l _Toc7450 </w:instrText>
          </w:r>
          <w:r>
            <w:rPr>
              <w:rFonts w:hint="default" w:ascii="Times New Roman" w:hAnsi="Times New Roman" w:eastAsia="等线 Light" w:cs="Times New Roman"/>
              <w:color w:val="auto"/>
              <w:szCs w:val="28"/>
            </w:rPr>
            <w:fldChar w:fldCharType="separate"/>
          </w:r>
          <w:r>
            <w:rPr>
              <w:rFonts w:hint="default" w:ascii="Times New Roman" w:hAnsi="Times New Roman" w:eastAsia="黑体" w:cs="Times New Roman"/>
              <w:color w:val="auto"/>
              <w:szCs w:val="32"/>
              <w:lang w:val="en-US" w:eastAsia="zh-CN"/>
            </w:rPr>
            <w:t>1</w:t>
          </w:r>
          <w:r>
            <w:rPr>
              <w:rFonts w:hint="eastAsia" w:eastAsia="黑体" w:cs="Times New Roman"/>
              <w:color w:val="auto"/>
              <w:szCs w:val="32"/>
              <w:lang w:val="en-US" w:eastAsia="zh-CN"/>
            </w:rPr>
            <w:t>8</w:t>
          </w:r>
          <w:r>
            <w:rPr>
              <w:rFonts w:hint="default" w:ascii="Times New Roman" w:hAnsi="Times New Roman" w:eastAsia="黑体" w:cs="Times New Roman"/>
              <w:color w:val="auto"/>
              <w:szCs w:val="32"/>
              <w:lang w:val="en-US" w:eastAsia="zh-CN"/>
            </w:rPr>
            <w:t xml:space="preserve"> 整改意见书模板（参考）</w:t>
          </w:r>
          <w:r>
            <w:rPr>
              <w:color w:val="auto"/>
            </w:rPr>
            <w:tab/>
          </w:r>
          <w:r>
            <w:rPr>
              <w:color w:val="auto"/>
            </w:rPr>
            <w:fldChar w:fldCharType="begin"/>
          </w:r>
          <w:r>
            <w:rPr>
              <w:color w:val="auto"/>
            </w:rPr>
            <w:instrText xml:space="preserve"> PAGEREF _Toc7450 \h </w:instrText>
          </w:r>
          <w:r>
            <w:rPr>
              <w:color w:val="auto"/>
            </w:rPr>
            <w:fldChar w:fldCharType="separate"/>
          </w:r>
          <w:r>
            <w:rPr>
              <w:color w:val="auto"/>
            </w:rPr>
            <w:t>57</w:t>
          </w:r>
          <w:r>
            <w:rPr>
              <w:color w:val="auto"/>
            </w:rPr>
            <w:fldChar w:fldCharType="end"/>
          </w:r>
          <w:r>
            <w:rPr>
              <w:rFonts w:hint="default" w:ascii="Times New Roman" w:hAnsi="Times New Roman" w:eastAsia="等线 Light" w:cs="Times New Roman"/>
              <w:color w:val="auto"/>
              <w:szCs w:val="28"/>
            </w:rPr>
            <w:fldChar w:fldCharType="end"/>
          </w:r>
        </w:p>
        <w:p>
          <w:pPr>
            <w:keepNext w:val="0"/>
            <w:keepLines w:val="0"/>
            <w:pageBreakBefore w:val="0"/>
            <w:widowControl w:val="0"/>
            <w:kinsoku/>
            <w:wordWrap/>
            <w:overflowPunct/>
            <w:topLinePunct w:val="0"/>
            <w:autoSpaceDE/>
            <w:autoSpaceDN/>
            <w:bidi w:val="0"/>
            <w:adjustRightInd/>
            <w:snapToGrid/>
            <w:spacing w:before="0" w:after="0" w:line="400" w:lineRule="exact"/>
            <w:ind w:left="0" w:leftChars="0" w:right="0" w:rightChars="0" w:firstLine="0" w:firstLineChars="0"/>
            <w:jc w:val="center"/>
            <w:textAlignment w:val="auto"/>
            <w:rPr>
              <w:rFonts w:hint="default" w:ascii="Times New Roman" w:hAnsi="Times New Roman" w:eastAsia="方正小标宋简体" w:cs="Times New Roman"/>
              <w:color w:val="auto"/>
              <w:kern w:val="2"/>
              <w:sz w:val="21"/>
              <w:szCs w:val="44"/>
              <w:lang w:val="en-US" w:eastAsia="zh-CN" w:bidi="ar-SA"/>
            </w:rPr>
          </w:pPr>
          <w:r>
            <w:rPr>
              <w:rFonts w:hint="default" w:ascii="Times New Roman" w:hAnsi="Times New Roman" w:eastAsia="等线 Light" w:cs="Times New Roman"/>
              <w:color w:val="auto"/>
              <w:szCs w:val="28"/>
            </w:rPr>
            <w:fldChar w:fldCharType="end"/>
          </w:r>
        </w:p>
      </w:sdtContent>
    </w:sdt>
    <w:p>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color w:val="auto"/>
          <w:sz w:val="44"/>
          <w:szCs w:val="44"/>
        </w:rPr>
        <w:sectPr>
          <w:footerReference r:id="rId7" w:type="first"/>
          <w:footerReference r:id="rId6" w:type="default"/>
          <w:pgSz w:w="11906" w:h="16838"/>
          <w:pgMar w:top="1440" w:right="1406" w:bottom="1440" w:left="1406" w:header="851" w:footer="992" w:gutter="0"/>
          <w:pgBorders>
            <w:top w:val="none" w:color="auto" w:sz="0" w:space="0"/>
            <w:left w:val="none" w:color="auto" w:sz="0" w:space="0"/>
            <w:bottom w:val="none" w:color="auto" w:sz="0" w:space="0"/>
            <w:right w:val="none" w:color="auto" w:sz="0" w:space="0"/>
          </w:pgBorders>
          <w:pgNumType w:fmt="decimal" w:start="1"/>
          <w:cols w:space="720" w:num="1"/>
          <w:titlePg/>
          <w:docGrid w:type="lines" w:linePitch="312" w:charSpace="0"/>
        </w:sectPr>
      </w:pPr>
    </w:p>
    <w:p>
      <w:pPr>
        <w:spacing w:before="0" w:beforeLines="0" w:after="0" w:afterLines="0" w:line="240" w:lineRule="auto"/>
        <w:ind w:left="0" w:leftChars="0" w:right="0" w:rightChars="0" w:firstLine="0" w:firstLineChars="0"/>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雷电防护装置</w:t>
      </w:r>
      <w:r>
        <w:rPr>
          <w:rFonts w:hint="default" w:ascii="Times New Roman" w:hAnsi="Times New Roman" w:eastAsia="方正小标宋简体" w:cs="Times New Roman"/>
          <w:color w:val="auto"/>
          <w:sz w:val="44"/>
          <w:szCs w:val="44"/>
          <w:lang w:eastAsia="zh-CN"/>
        </w:rPr>
        <w:t>检测</w:t>
      </w:r>
      <w:r>
        <w:rPr>
          <w:rFonts w:hint="default" w:ascii="Times New Roman" w:hAnsi="Times New Roman" w:eastAsia="方正小标宋简体" w:cs="Times New Roman"/>
          <w:color w:val="auto"/>
          <w:sz w:val="44"/>
          <w:szCs w:val="44"/>
        </w:rPr>
        <w:t>报告</w:t>
      </w:r>
      <w:r>
        <w:rPr>
          <w:rFonts w:hint="eastAsia" w:eastAsia="方正小标宋简体" w:cs="Times New Roman"/>
          <w:color w:val="auto"/>
          <w:sz w:val="44"/>
          <w:szCs w:val="44"/>
          <w:lang w:val="en-US" w:eastAsia="zh-CN"/>
        </w:rPr>
        <w:t>填写</w:t>
      </w:r>
      <w:r>
        <w:rPr>
          <w:rFonts w:hint="default" w:ascii="Times New Roman" w:hAnsi="Times New Roman" w:eastAsia="方正小标宋简体" w:cs="Times New Roman"/>
          <w:color w:val="auto"/>
          <w:sz w:val="44"/>
          <w:szCs w:val="44"/>
        </w:rPr>
        <w:t>说明</w:t>
      </w:r>
      <w:bookmarkStart w:id="0" w:name="_Toc36143145"/>
    </w:p>
    <w:bookmarkEnd w:id="0"/>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zh-CN" w:eastAsia="zh-CN"/>
        </w:rPr>
      </w:pPr>
      <w:bookmarkStart w:id="1" w:name="_Toc15448"/>
      <w:bookmarkStart w:id="2" w:name="_Toc31560"/>
      <w:bookmarkStart w:id="3" w:name="_Toc9942"/>
      <w:r>
        <w:rPr>
          <w:rFonts w:hint="default" w:ascii="Times New Roman" w:hAnsi="Times New Roman" w:eastAsia="黑体" w:cs="Times New Roman"/>
          <w:color w:val="auto"/>
          <w:sz w:val="32"/>
          <w:szCs w:val="32"/>
          <w:lang w:val="en-US" w:eastAsia="zh-CN"/>
        </w:rPr>
        <w:t>1 总体说明</w:t>
      </w:r>
      <w:bookmarkEnd w:id="1"/>
      <w:bookmarkEnd w:id="2"/>
      <w:bookmarkEnd w:id="3"/>
    </w:p>
    <w:p>
      <w:pPr>
        <w:pStyle w:val="3"/>
        <w:keepNext/>
        <w:keepLines/>
        <w:pageBreakBefore w:val="0"/>
        <w:widowControl w:val="0"/>
        <w:numPr>
          <w:ilvl w:val="1"/>
          <w:numId w:val="1"/>
        </w:numPr>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b w:val="0"/>
          <w:bCs w:val="0"/>
          <w:color w:val="auto"/>
          <w:sz w:val="32"/>
          <w:szCs w:val="32"/>
        </w:rPr>
      </w:pPr>
      <w:bookmarkStart w:id="4" w:name="_Toc11935"/>
      <w:bookmarkStart w:id="5" w:name="_Toc23528"/>
      <w:r>
        <w:rPr>
          <w:rFonts w:hint="default" w:ascii="Times New Roman" w:hAnsi="Times New Roman" w:eastAsia="黑体" w:cs="Times New Roman"/>
          <w:b w:val="0"/>
          <w:bCs w:val="0"/>
          <w:color w:val="auto"/>
          <w:sz w:val="32"/>
          <w:szCs w:val="32"/>
        </w:rPr>
        <w:t>报告组成</w:t>
      </w:r>
      <w:bookmarkEnd w:id="4"/>
      <w:bookmarkEnd w:id="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宋体"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雷电防护装置检测报告</w:t>
      </w:r>
      <w:r>
        <w:rPr>
          <w:rFonts w:hint="eastAsia" w:eastAsia="仿宋_GB2312" w:cs="Times New Roman"/>
          <w:color w:val="auto"/>
          <w:sz w:val="32"/>
          <w:szCs w:val="32"/>
          <w:lang w:val="en-US" w:eastAsia="zh-CN"/>
        </w:rPr>
        <w:t>模板</w:t>
      </w:r>
      <w:r>
        <w:rPr>
          <w:rFonts w:hint="default" w:ascii="Times New Roman" w:hAnsi="Times New Roman" w:eastAsia="仿宋_GB2312" w:cs="Times New Roman"/>
          <w:color w:val="auto"/>
          <w:sz w:val="32"/>
          <w:szCs w:val="32"/>
          <w:lang w:val="en-US" w:eastAsia="zh-CN"/>
        </w:rPr>
        <w:t>分验收和检测两大类</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验收检测为新建、改建、扩建的建筑物防雷装置投入使用前的检测，定期检测为投入使用后的防雷装置按规定周期进行的检测。模板共分为13</w:t>
      </w:r>
      <w:r>
        <w:rPr>
          <w:rFonts w:hint="eastAsia" w:eastAsia="仿宋_GB2312" w:cs="Times New Roman"/>
          <w:color w:val="auto"/>
          <w:sz w:val="32"/>
          <w:szCs w:val="32"/>
          <w:lang w:val="en-US" w:eastAsia="zh-CN"/>
        </w:rPr>
        <w:t>类，分别为建筑物雷电防护装置检测报告模板</w:t>
      </w:r>
      <w:r>
        <w:rPr>
          <w:rFonts w:hint="default" w:ascii="Times New Roman" w:hAnsi="Times New Roman" w:eastAsia="仿宋_GB2312" w:cs="Times New Roman"/>
          <w:color w:val="auto"/>
          <w:sz w:val="32"/>
          <w:szCs w:val="32"/>
          <w:lang w:val="en-US" w:eastAsia="zh-CN"/>
        </w:rPr>
        <w:t>和12类专业雷电防护装置检测报告</w:t>
      </w:r>
      <w:r>
        <w:rPr>
          <w:rFonts w:hint="eastAsia" w:eastAsia="仿宋_GB2312" w:cs="Times New Roman"/>
          <w:color w:val="auto"/>
          <w:sz w:val="32"/>
          <w:szCs w:val="32"/>
          <w:lang w:val="en-US" w:eastAsia="zh-CN"/>
        </w:rPr>
        <w:t>模板</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z w:val="32"/>
          <w:szCs w:val="32"/>
        </w:rPr>
        <w:t>报告由</w:t>
      </w:r>
      <w:r>
        <w:rPr>
          <w:rFonts w:hint="default" w:ascii="Times New Roman" w:hAnsi="Times New Roman" w:eastAsia="仿宋_GB2312" w:cs="Times New Roman"/>
          <w:color w:val="auto"/>
          <w:sz w:val="32"/>
          <w:szCs w:val="32"/>
          <w:lang w:val="en-US" w:eastAsia="zh-CN"/>
        </w:rPr>
        <w:t>封面、声明、雷电防护装置验收（定期）检测报告</w:t>
      </w:r>
      <w:r>
        <w:rPr>
          <w:rFonts w:hint="default" w:ascii="Times New Roman" w:hAnsi="Times New Roman" w:eastAsia="仿宋_GB2312" w:cs="Times New Roman"/>
          <w:color w:val="auto"/>
          <w:sz w:val="32"/>
          <w:szCs w:val="32"/>
        </w:rPr>
        <w:t>总表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雷电防护装置验收（定期）检测报告综述表、雷电防护装置检测平面示意图、雷电防护装置检测报告—检测点现场图示、建筑物雷电防护装置检测报告表（及12</w:t>
      </w:r>
      <w:r>
        <w:rPr>
          <w:rFonts w:hint="eastAsia" w:eastAsia="仿宋_GB2312" w:cs="Times New Roman"/>
          <w:color w:val="auto"/>
          <w:sz w:val="32"/>
          <w:szCs w:val="32"/>
          <w:lang w:val="en-US" w:eastAsia="zh-CN"/>
        </w:rPr>
        <w:t>类</w:t>
      </w:r>
      <w:r>
        <w:rPr>
          <w:rFonts w:hint="default" w:ascii="Times New Roman" w:hAnsi="Times New Roman" w:eastAsia="仿宋_GB2312" w:cs="Times New Roman"/>
          <w:color w:val="auto"/>
          <w:sz w:val="32"/>
          <w:szCs w:val="32"/>
          <w:lang w:val="en-US" w:eastAsia="zh-CN"/>
        </w:rPr>
        <w:t>专业）、接地电阻测试表（附表a，以下简称附表a）、等电位和电气连接、电气贯通性能测试表（附表b，以下简称附表b）、</w:t>
      </w:r>
      <w:r>
        <w:rPr>
          <w:rFonts w:hint="default" w:ascii="Times New Roman" w:hAnsi="Times New Roman" w:eastAsia="仿宋_GB2312" w:cs="Times New Roman"/>
          <w:color w:val="auto"/>
          <w:spacing w:val="-6"/>
          <w:sz w:val="32"/>
          <w:szCs w:val="32"/>
          <w:lang w:val="en-US" w:eastAsia="zh-CN"/>
        </w:rPr>
        <w:t>雷电防护装置安全问题隐患现场照片及说明、参与本项目雷电防护装置检测人员相关证件、附页组成，并按照上述顺序装订。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雷电防护装置验收（定期）检测报告总表、雷电防护装置验收（定期）检测报告综述表、雷电防护装置检测平面示意图、雷电防护装置检测报告—检测点现场图示、接地电阻测试表（附表a）、等电位和电气连接、电气贯通性能测试表（附表b）、雷电防护装置安全问题隐患现场照片及说明、参与本项目雷电防护装置检测人员相关证件均可续页。检测报告表中接闪器支架拉力行数可以调整，浪涌保护器（SPD）测试表可续页。检测项目未涉及其他专业时，检测报告可为建筑物雷电防护装置检测报告，若涉及其余专业时应由建筑物雷电防护装置检测报告和其他专业雷电防护装置检测报告按单体顺序组合形成。</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kern w:val="2"/>
          <w:sz w:val="32"/>
          <w:szCs w:val="32"/>
          <w:lang w:val="en-US" w:eastAsia="zh-CN" w:bidi="ar-SA"/>
        </w:rPr>
      </w:pPr>
      <w:r>
        <w:rPr>
          <w:rFonts w:hint="default" w:ascii="Times New Roman" w:hAnsi="Times New Roman" w:eastAsia="楷体" w:cs="Times New Roman"/>
          <w:color w:val="auto"/>
          <w:kern w:val="2"/>
          <w:sz w:val="32"/>
          <w:szCs w:val="32"/>
          <w:lang w:val="en-US" w:eastAsia="zh-CN" w:bidi="ar-SA"/>
        </w:rPr>
        <w:t>示例：加油（气）站雷电防护装置验收检测报告</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 w:cs="Times New Roman"/>
          <w:color w:val="auto"/>
          <w:kern w:val="2"/>
          <w:sz w:val="32"/>
          <w:szCs w:val="32"/>
          <w:lang w:val="en-US" w:eastAsia="zh-CN" w:bidi="ar-SA"/>
        </w:rPr>
      </w:pPr>
      <w:r>
        <w:rPr>
          <w:rFonts w:hint="default" w:ascii="Times New Roman" w:hAnsi="Times New Roman" w:eastAsia="楷体" w:cs="Times New Roman"/>
          <w:color w:val="auto"/>
          <w:kern w:val="2"/>
          <w:sz w:val="32"/>
          <w:szCs w:val="32"/>
          <w:lang w:val="en-US" w:eastAsia="zh-CN" w:bidi="ar-SA"/>
        </w:rPr>
        <w:t>报告组成：总表、综述表、雷电防护装置检测平面示意图、检测点现场图示、建筑物雷电防护装置检测报告表（站房）、加油（气）站雷电防护装置检测报告表、接地电阻测试表（附表a）、等电位和电气连接、电气贯通性能测试表（附表b）、雷电防护装置安全问题隐患现场照片、参与本项目雷电防护装置检测人员相关证件、附页。</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 w:cs="Times New Roman"/>
          <w:color w:val="auto"/>
          <w:kern w:val="2"/>
          <w:sz w:val="32"/>
          <w:szCs w:val="32"/>
          <w:lang w:val="en-US" w:eastAsia="zh-CN" w:bidi="ar-SA"/>
        </w:rPr>
      </w:pPr>
      <w:r>
        <w:rPr>
          <w:rFonts w:hint="default" w:ascii="Times New Roman" w:hAnsi="Times New Roman" w:eastAsia="楷体" w:cs="Times New Roman"/>
          <w:color w:val="auto"/>
          <w:kern w:val="2"/>
          <w:sz w:val="32"/>
          <w:szCs w:val="32"/>
          <w:lang w:val="en-US" w:eastAsia="zh-CN" w:bidi="ar-SA"/>
        </w:rPr>
        <w:t>说明：加油（气）站雷电防护装置验收检测报告表包含内容为罩棚、油罐区、储</w:t>
      </w:r>
      <w:r>
        <w:rPr>
          <w:rFonts w:hint="eastAsia" w:eastAsia="楷体" w:cs="Times New Roman"/>
          <w:color w:val="auto"/>
          <w:kern w:val="2"/>
          <w:sz w:val="32"/>
          <w:szCs w:val="32"/>
          <w:lang w:val="en-US" w:eastAsia="zh-CN" w:bidi="ar-SA"/>
        </w:rPr>
        <w:t>气</w:t>
      </w:r>
      <w:r>
        <w:rPr>
          <w:rFonts w:hint="default" w:ascii="Times New Roman" w:hAnsi="Times New Roman" w:eastAsia="楷体" w:cs="Times New Roman"/>
          <w:color w:val="auto"/>
          <w:kern w:val="2"/>
          <w:sz w:val="32"/>
          <w:szCs w:val="32"/>
          <w:lang w:val="en-US" w:eastAsia="zh-CN" w:bidi="ar-SA"/>
        </w:rPr>
        <w:t>区，不包含站房。站房检测表应使用建筑物雷电防护装置检测报告表。</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 w:name="_Toc12116"/>
      <w:bookmarkStart w:id="7" w:name="_Toc24054"/>
      <w:r>
        <w:rPr>
          <w:rFonts w:hint="eastAsia" w:ascii="黑体" w:hAnsi="黑体" w:eastAsia="黑体" w:cs="黑体"/>
          <w:b w:val="0"/>
          <w:bCs w:val="0"/>
          <w:color w:val="auto"/>
          <w:sz w:val="32"/>
          <w:szCs w:val="32"/>
          <w:lang w:val="en-US" w:eastAsia="zh-CN"/>
        </w:rPr>
        <w:t>1.2 报告归档</w:t>
      </w:r>
      <w:bookmarkEnd w:id="6"/>
      <w:bookmarkEnd w:id="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检测技术档案一般包括</w:t>
      </w:r>
      <w:r>
        <w:rPr>
          <w:rFonts w:hint="default" w:ascii="Times New Roman" w:hAnsi="Times New Roman" w:eastAsia="仿宋_GB2312" w:cs="Times New Roman"/>
          <w:color w:val="auto"/>
          <w:sz w:val="32"/>
          <w:szCs w:val="32"/>
          <w:lang w:eastAsia="zh-CN"/>
        </w:rPr>
        <w:t>检测</w:t>
      </w:r>
      <w:r>
        <w:rPr>
          <w:rFonts w:hint="default" w:ascii="Times New Roman" w:hAnsi="Times New Roman" w:eastAsia="仿宋_GB2312" w:cs="Times New Roman"/>
          <w:color w:val="auto"/>
          <w:sz w:val="32"/>
          <w:szCs w:val="32"/>
        </w:rPr>
        <w:t>报告、原始记录表、项目合同书、整改意见书及复检报告（未涉及整改除外）等。</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8" w:name="_Toc20639"/>
      <w:bookmarkStart w:id="9" w:name="_Toc29268"/>
      <w:r>
        <w:rPr>
          <w:rFonts w:hint="eastAsia" w:ascii="黑体" w:hAnsi="黑体" w:eastAsia="黑体" w:cs="黑体"/>
          <w:b w:val="0"/>
          <w:bCs w:val="0"/>
          <w:color w:val="auto"/>
          <w:sz w:val="32"/>
          <w:szCs w:val="32"/>
          <w:lang w:val="en-US" w:eastAsia="zh-CN"/>
        </w:rPr>
        <w:t>1.3 原始记录</w:t>
      </w:r>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原始记录表由</w:t>
      </w: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依据检测报告模板自行设计制定。原始记录涉及要素应能充分支撑报告，应能溯源编制报告所需的全部信息。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原始记录应有被</w:t>
      </w:r>
      <w:r>
        <w:rPr>
          <w:rFonts w:hint="eastAsia" w:ascii="Times New Roman" w:hAnsi="Times New Roman" w:eastAsia="仿宋_GB2312" w:cs="Times New Roman"/>
          <w:b/>
          <w:bCs/>
          <w:color w:val="auto"/>
          <w:sz w:val="32"/>
          <w:szCs w:val="32"/>
          <w:lang w:val="en-US" w:eastAsia="zh-CN"/>
        </w:rPr>
        <w:t>检测机构</w:t>
      </w:r>
      <w:r>
        <w:rPr>
          <w:rFonts w:hint="default" w:ascii="Times New Roman" w:hAnsi="Times New Roman" w:eastAsia="仿宋_GB2312" w:cs="Times New Roman"/>
          <w:b/>
          <w:bCs/>
          <w:color w:val="auto"/>
          <w:sz w:val="32"/>
          <w:szCs w:val="32"/>
          <w:lang w:val="en-US" w:eastAsia="zh-CN"/>
        </w:rPr>
        <w:t>人员签字确认。</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10" w:name="_Toc32007"/>
      <w:bookmarkStart w:id="11" w:name="_Toc29173"/>
      <w:r>
        <w:rPr>
          <w:rFonts w:hint="eastAsia" w:ascii="黑体" w:hAnsi="黑体" w:eastAsia="黑体" w:cs="黑体"/>
          <w:b w:val="0"/>
          <w:bCs w:val="0"/>
          <w:color w:val="auto"/>
          <w:sz w:val="32"/>
          <w:szCs w:val="32"/>
          <w:lang w:val="en-US" w:eastAsia="zh-CN"/>
        </w:rPr>
        <w:t>1.4 计量单位</w:t>
      </w:r>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使用的计量单位和符号应符合国家计量标准，雷电防护装置检测数据的计算和整理应按照GB/T 21431-2023的规定使用数值修约比较法。</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sz w:val="32"/>
          <w:szCs w:val="32"/>
        </w:rPr>
      </w:pPr>
      <w:r>
        <w:rPr>
          <w:rFonts w:hint="eastAsia" w:eastAsia="仿宋_GB2312" w:cs="Times New Roman"/>
          <w:color w:val="auto"/>
          <w:spacing w:val="-6"/>
          <w:sz w:val="32"/>
          <w:szCs w:val="32"/>
          <w:lang w:val="en-US" w:eastAsia="zh-CN"/>
        </w:rPr>
        <w:t>（1）</w:t>
      </w:r>
      <w:r>
        <w:rPr>
          <w:rFonts w:hint="default" w:ascii="Times New Roman" w:hAnsi="Times New Roman" w:eastAsia="仿宋_GB2312" w:cs="Times New Roman"/>
          <w:color w:val="auto"/>
          <w:spacing w:val="-6"/>
          <w:sz w:val="32"/>
          <w:szCs w:val="32"/>
        </w:rPr>
        <w:t>建筑物和被保护物长宽高以及接闪器、引下线、接地体</w:t>
      </w:r>
      <w:r>
        <w:rPr>
          <w:rFonts w:hint="eastAsia" w:eastAsia="仿宋_GB2312" w:cs="Times New Roman"/>
          <w:color w:val="auto"/>
          <w:spacing w:val="-6"/>
          <w:sz w:val="32"/>
          <w:szCs w:val="32"/>
          <w:lang w:eastAsia="zh-CN"/>
        </w:rPr>
        <w:t>、</w:t>
      </w:r>
      <w:r>
        <w:rPr>
          <w:rFonts w:hint="eastAsia" w:ascii="Times New Roman" w:hAnsi="Times New Roman" w:eastAsia="仿宋_GB2312" w:cs="Times New Roman"/>
          <w:color w:val="auto"/>
          <w:spacing w:val="-6"/>
          <w:sz w:val="32"/>
          <w:szCs w:val="32"/>
          <w:lang w:eastAsia="zh-CN"/>
        </w:rPr>
        <w:t>导线</w:t>
      </w:r>
      <w:r>
        <w:rPr>
          <w:rFonts w:hint="default" w:ascii="Times New Roman" w:hAnsi="Times New Roman" w:eastAsia="仿宋_GB2312" w:cs="Times New Roman"/>
          <w:color w:val="auto"/>
          <w:spacing w:val="-6"/>
          <w:sz w:val="32"/>
          <w:szCs w:val="32"/>
        </w:rPr>
        <w:t>长度等大尺寸物体的计量单位为米（m）</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数值</w:t>
      </w:r>
      <w:bookmarkStart w:id="12" w:name="_Hlk176965043"/>
      <w:r>
        <w:rPr>
          <w:rFonts w:hint="default" w:ascii="Times New Roman" w:hAnsi="Times New Roman" w:eastAsia="仿宋_GB2312" w:cs="Times New Roman"/>
          <w:color w:val="auto"/>
          <w:spacing w:val="-6"/>
          <w:sz w:val="32"/>
          <w:szCs w:val="32"/>
        </w:rPr>
        <w:t>保留一位小数</w:t>
      </w:r>
      <w:bookmarkEnd w:id="12"/>
      <w:r>
        <w:rPr>
          <w:rFonts w:hint="default"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lang w:val="en-US" w:eastAsia="zh-CN"/>
        </w:rPr>
        <w:t>示例2.9</w:t>
      </w:r>
      <w:r>
        <w:rPr>
          <w:rFonts w:hint="default" w:ascii="Times New Roman" w:hAnsi="Times New Roman" w:eastAsia="仿宋_GB2312" w:cs="Times New Roman"/>
          <w:color w:val="auto"/>
          <w:spacing w:val="-6"/>
          <w:sz w:val="32"/>
          <w:szCs w:val="32"/>
        </w:rPr>
        <w:t>m</w:t>
      </w:r>
      <w:r>
        <w:rPr>
          <w:rFonts w:hint="default"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扁钢、圆钢、角钢、</w:t>
      </w:r>
      <w:bookmarkStart w:id="13" w:name="_Hlk176965029"/>
      <w:r>
        <w:rPr>
          <w:rFonts w:hint="default" w:ascii="Times New Roman" w:hAnsi="Times New Roman" w:eastAsia="仿宋_GB2312" w:cs="Times New Roman"/>
          <w:color w:val="auto"/>
          <w:sz w:val="32"/>
          <w:szCs w:val="32"/>
        </w:rPr>
        <w:t>钢板厚度</w:t>
      </w:r>
      <w:bookmarkEnd w:id="13"/>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直径</w:t>
      </w:r>
      <w:r>
        <w:rPr>
          <w:rFonts w:hint="default" w:ascii="Times New Roman" w:hAnsi="Times New Roman" w:eastAsia="仿宋_GB2312" w:cs="Times New Roman"/>
          <w:color w:val="auto"/>
          <w:sz w:val="32"/>
          <w:szCs w:val="32"/>
        </w:rPr>
        <w:t>等的计量单位为毫米（mm），</w:t>
      </w:r>
      <w:r>
        <w:rPr>
          <w:rFonts w:hint="eastAsia" w:ascii="Times New Roman" w:hAnsi="Times New Roman" w:eastAsia="仿宋_GB2312" w:cs="Times New Roman"/>
          <w:color w:val="auto"/>
          <w:sz w:val="32"/>
          <w:szCs w:val="32"/>
          <w:lang w:val="en-US" w:eastAsia="zh-CN"/>
        </w:rPr>
        <w:t>一般</w:t>
      </w:r>
      <w:r>
        <w:rPr>
          <w:rFonts w:hint="default" w:ascii="Times New Roman" w:hAnsi="Times New Roman" w:eastAsia="仿宋_GB2312" w:cs="Times New Roman"/>
          <w:color w:val="auto"/>
          <w:sz w:val="32"/>
          <w:szCs w:val="32"/>
        </w:rPr>
        <w:t>取整数</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当该材料计量精度为一位小数时，</w:t>
      </w:r>
      <w:r>
        <w:rPr>
          <w:rFonts w:hint="default" w:ascii="Times New Roman" w:hAnsi="Times New Roman" w:eastAsia="仿宋_GB2312" w:cs="Times New Roman"/>
          <w:color w:val="auto"/>
          <w:sz w:val="32"/>
          <w:szCs w:val="32"/>
        </w:rPr>
        <w:t>保留一位小数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示例</w:t>
      </w:r>
      <w:r>
        <w:rPr>
          <w:rFonts w:hint="eastAsia" w:ascii="Times New Roman" w:hAnsi="Times New Roman" w:eastAsia="仿宋_GB2312" w:cs="Times New Roman"/>
          <w:color w:val="auto"/>
          <w:sz w:val="32"/>
          <w:szCs w:val="32"/>
          <w:lang w:val="en-US" w:eastAsia="zh-CN"/>
        </w:rPr>
        <w:t>φ=12m</w:t>
      </w:r>
      <w:r>
        <w:rPr>
          <w:rFonts w:hint="default" w:ascii="Times New Roman" w:hAnsi="Times New Roman" w:eastAsia="仿宋_GB2312" w:cs="Times New Roman"/>
          <w:color w:val="auto"/>
          <w:sz w:val="32"/>
          <w:szCs w:val="32"/>
        </w:rPr>
        <w:t>m</w:t>
      </w:r>
      <w:r>
        <w:rPr>
          <w:rFonts w:hint="eastAsia" w:ascii="Times New Roman" w:hAnsi="Times New Roman" w:eastAsia="仿宋_GB2312" w:cs="Times New Roman"/>
          <w:color w:val="auto"/>
          <w:sz w:val="32"/>
          <w:szCs w:val="32"/>
          <w:lang w:val="en-US" w:eastAsia="zh-CN"/>
        </w:rPr>
        <w:t>，T=0.7mm</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截面积的计量单位为平方毫米（mm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一般</w:t>
      </w:r>
      <w:r>
        <w:rPr>
          <w:rFonts w:hint="default" w:ascii="Times New Roman" w:hAnsi="Times New Roman" w:eastAsia="仿宋_GB2312" w:cs="Times New Roman"/>
          <w:color w:val="auto"/>
          <w:sz w:val="32"/>
          <w:szCs w:val="32"/>
          <w:lang w:val="en-US" w:eastAsia="zh-CN"/>
        </w:rPr>
        <w:t>取整数</w:t>
      </w:r>
      <w:r>
        <w:rPr>
          <w:rFonts w:hint="eastAsia" w:eastAsia="仿宋_GB2312" w:cs="Times New Roman"/>
          <w:color w:val="auto"/>
          <w:sz w:val="32"/>
          <w:szCs w:val="32"/>
          <w:lang w:val="en-US" w:eastAsia="zh-CN"/>
        </w:rPr>
        <w:t>，部分留一位小数</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6"/>
          <w:sz w:val="32"/>
          <w:szCs w:val="32"/>
        </w:rPr>
      </w:pPr>
      <w:r>
        <w:rPr>
          <w:rFonts w:hint="eastAsia"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工频</w:t>
      </w:r>
      <w:r>
        <w:rPr>
          <w:rFonts w:hint="eastAsia" w:ascii="Times New Roman" w:hAnsi="Times New Roman" w:eastAsia="仿宋_GB2312" w:cs="Times New Roman"/>
          <w:color w:val="auto"/>
          <w:sz w:val="32"/>
          <w:szCs w:val="32"/>
          <w:lang w:val="en-US" w:eastAsia="zh-CN"/>
        </w:rPr>
        <w:t>、冲击</w:t>
      </w:r>
      <w:r>
        <w:rPr>
          <w:rFonts w:hint="default" w:ascii="Times New Roman" w:hAnsi="Times New Roman" w:eastAsia="仿宋_GB2312" w:cs="Times New Roman"/>
          <w:color w:val="auto"/>
          <w:sz w:val="32"/>
          <w:szCs w:val="32"/>
          <w:lang w:val="en-US" w:eastAsia="zh-CN"/>
        </w:rPr>
        <w:t>电阻</w:t>
      </w:r>
      <w:r>
        <w:rPr>
          <w:rFonts w:hint="default" w:ascii="Times New Roman" w:hAnsi="Times New Roman" w:eastAsia="仿宋_GB2312" w:cs="Times New Roman"/>
          <w:color w:val="auto"/>
          <w:spacing w:val="-6"/>
          <w:sz w:val="32"/>
          <w:szCs w:val="32"/>
        </w:rPr>
        <w:t>值计量单位为欧姆</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Ω</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，保留一位小数</w:t>
      </w:r>
      <w:r>
        <w:rPr>
          <w:rFonts w:hint="default"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lang w:val="en-US" w:eastAsia="zh-CN"/>
        </w:rPr>
        <w:t>示例2.9Ω</w:t>
      </w:r>
      <w:r>
        <w:rPr>
          <w:rFonts w:hint="default"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bidi="ar"/>
        </w:rPr>
      </w:pP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过渡电阻计量单位为欧姆（Ω），</w:t>
      </w:r>
      <w:r>
        <w:rPr>
          <w:rFonts w:hint="default" w:ascii="Times New Roman" w:hAnsi="Times New Roman" w:eastAsia="仿宋_GB2312" w:cs="Times New Roman"/>
          <w:color w:val="auto"/>
          <w:sz w:val="32"/>
          <w:szCs w:val="32"/>
          <w:lang w:val="en-US" w:eastAsia="zh-CN"/>
        </w:rPr>
        <w:t>要求≤0.03Ω的保留三位小数（示例0.023Ω），要求≤0.2Ω的</w:t>
      </w:r>
      <w:r>
        <w:rPr>
          <w:rFonts w:hint="default" w:ascii="Times New Roman" w:hAnsi="Times New Roman" w:eastAsia="仿宋_GB2312" w:cs="Times New Roman"/>
          <w:color w:val="auto"/>
          <w:sz w:val="32"/>
          <w:szCs w:val="32"/>
        </w:rPr>
        <w:t>保留两位小数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示例0.13Ω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；电涌保护器压敏电压计量单位为伏（V</w:t>
      </w:r>
      <w:r>
        <w:rPr>
          <w:rFonts w:hint="default" w:ascii="Times New Roman" w:hAnsi="Times New Roman" w:eastAsia="仿宋_GB2312" w:cs="Times New Roman"/>
          <w:color w:val="auto"/>
          <w:sz w:val="32"/>
          <w:szCs w:val="32"/>
          <w:vertAlign w:val="subscript"/>
          <w:lang w:val="en-US" w:eastAsia="zh-CN"/>
        </w:rPr>
        <w:t>V</w:t>
      </w:r>
      <w:r>
        <w:rPr>
          <w:rFonts w:hint="default" w:ascii="Times New Roman" w:hAnsi="Times New Roman" w:eastAsia="仿宋_GB2312" w:cs="Times New Roman"/>
          <w:color w:val="auto"/>
          <w:sz w:val="32"/>
          <w:szCs w:val="32"/>
        </w:rPr>
        <w:t>），数值取整数；泄漏电流计量单位为微安</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bidi="ar"/>
        </w:rPr>
        <w:t>μA</w:t>
      </w:r>
      <w:r>
        <w:rPr>
          <w:rFonts w:hint="eastAsia" w:eastAsia="仿宋_GB2312" w:cs="Times New Roman"/>
          <w:color w:val="auto"/>
          <w:sz w:val="32"/>
          <w:szCs w:val="32"/>
          <w:lang w:eastAsia="zh-CN" w:bidi="ar"/>
        </w:rPr>
        <w:t>）</w:t>
      </w:r>
      <w:r>
        <w:rPr>
          <w:rFonts w:hint="eastAsia" w:ascii="Times New Roman" w:hAnsi="Times New Roman" w:eastAsia="仿宋_GB2312" w:cs="Times New Roman"/>
          <w:color w:val="auto"/>
          <w:sz w:val="32"/>
          <w:szCs w:val="32"/>
          <w:lang w:eastAsia="zh-CN" w:bidi="ar"/>
        </w:rPr>
        <w:t>，</w:t>
      </w:r>
      <w:r>
        <w:rPr>
          <w:rFonts w:hint="default" w:ascii="Times New Roman" w:hAnsi="Times New Roman" w:eastAsia="仿宋_GB2312" w:cs="Times New Roman"/>
          <w:color w:val="auto"/>
          <w:sz w:val="32"/>
          <w:szCs w:val="32"/>
          <w:lang w:bidi="ar"/>
        </w:rPr>
        <w:t>数值取整数；绝缘电阻计量单位为兆欧</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bidi="ar"/>
        </w:rPr>
        <w:t>（M</w:t>
      </w:r>
      <w:r>
        <w:rPr>
          <w:rFonts w:hint="default" w:ascii="Times New Roman" w:hAnsi="Times New Roman" w:eastAsia="仿宋_GB2312" w:cs="Times New Roman"/>
          <w:color w:val="auto"/>
          <w:sz w:val="32"/>
          <w:szCs w:val="32"/>
        </w:rPr>
        <w:t>Ω</w:t>
      </w:r>
      <w:r>
        <w:rPr>
          <w:rFonts w:hint="default" w:ascii="Times New Roman" w:hAnsi="Times New Roman" w:eastAsia="仿宋_GB2312" w:cs="Times New Roman"/>
          <w:color w:val="auto"/>
          <w:sz w:val="32"/>
          <w:szCs w:val="32"/>
          <w:lang w:bidi="ar"/>
        </w:rPr>
        <w:t>），数值取整数</w:t>
      </w:r>
      <w:r>
        <w:rPr>
          <w:rFonts w:hint="default" w:ascii="Times New Roman" w:hAnsi="Times New Roman" w:eastAsia="仿宋_GB2312" w:cs="Times New Roman"/>
          <w:color w:val="auto"/>
          <w:sz w:val="32"/>
          <w:szCs w:val="32"/>
          <w:lang w:eastAsia="zh-CN" w:bidi="ar"/>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14" w:name="_Toc22500"/>
      <w:bookmarkStart w:id="15" w:name="_Toc5972"/>
      <w:r>
        <w:rPr>
          <w:rFonts w:hint="eastAsia" w:ascii="黑体" w:hAnsi="黑体" w:eastAsia="黑体" w:cs="黑体"/>
          <w:b w:val="0"/>
          <w:bCs w:val="0"/>
          <w:color w:val="auto"/>
          <w:sz w:val="32"/>
          <w:szCs w:val="32"/>
          <w:lang w:val="en-US" w:eastAsia="zh-CN"/>
        </w:rPr>
        <w:t>1.5 简写说明</w:t>
      </w:r>
      <w:bookmarkEnd w:id="14"/>
      <w:bookmarkEnd w:id="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pacing w:val="0"/>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pacing w:val="0"/>
          <w:sz w:val="32"/>
          <w:szCs w:val="32"/>
        </w:rPr>
        <w:t>检测报告内页中“―”表示无此检测项目，“/”表示有此项目但无法获取结果（不建议使用，宜通过多种手段实现应检尽检）</w:t>
      </w:r>
      <w:r>
        <w:rPr>
          <w:rFonts w:hint="eastAsia"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表示材质时，“Fe”表示铁（钢），“Cu”表示铜，“Al”表示铝</w:t>
      </w:r>
      <w:r>
        <w:rPr>
          <w:rFonts w:hint="eastAsia"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pacing w:val="-6"/>
          <w:sz w:val="32"/>
          <w:szCs w:val="32"/>
        </w:rPr>
        <w:t>表示规格时，“</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”表示扁钢（</w:t>
      </w:r>
      <w:r>
        <w:rPr>
          <w:rFonts w:hint="eastAsia" w:eastAsia="仿宋_GB2312" w:cs="Times New Roman"/>
          <w:color w:val="auto"/>
          <w:spacing w:val="-6"/>
          <w:sz w:val="32"/>
          <w:szCs w:val="32"/>
          <w:lang w:val="en-US" w:eastAsia="zh-CN"/>
        </w:rPr>
        <w:t>钢</w:t>
      </w:r>
      <w:r>
        <w:rPr>
          <w:rFonts w:hint="default" w:ascii="Times New Roman" w:hAnsi="Times New Roman" w:eastAsia="仿宋_GB2312" w:cs="Times New Roman"/>
          <w:color w:val="auto"/>
          <w:spacing w:val="-6"/>
          <w:sz w:val="32"/>
          <w:szCs w:val="32"/>
        </w:rPr>
        <w:t>）</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“S”表示截面，“Φ”表示直径，“R”表示半径，“T”表示厚度</w:t>
      </w:r>
      <w:r>
        <w:rPr>
          <w:rFonts w:hint="eastAsia" w:eastAsia="仿宋_GB2312" w:cs="Times New Roman"/>
          <w:color w:val="auto"/>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sz w:val="32"/>
          <w:szCs w:val="32"/>
          <w:lang w:eastAsia="zh-CN"/>
        </w:rPr>
      </w:pPr>
      <w:r>
        <w:rPr>
          <w:rFonts w:hint="eastAsia" w:eastAsia="仿宋_GB2312" w:cs="Times New Roman"/>
          <w:color w:val="auto"/>
          <w:spacing w:val="-6"/>
          <w:sz w:val="32"/>
          <w:szCs w:val="32"/>
          <w:lang w:eastAsia="zh-CN"/>
        </w:rPr>
        <w:t>（</w:t>
      </w:r>
      <w:r>
        <w:rPr>
          <w:rFonts w:hint="eastAsia" w:eastAsia="仿宋_GB2312" w:cs="Times New Roman"/>
          <w:color w:val="auto"/>
          <w:spacing w:val="-6"/>
          <w:sz w:val="32"/>
          <w:szCs w:val="32"/>
          <w:lang w:val="en-US" w:eastAsia="zh-CN"/>
        </w:rPr>
        <w:t>4</w:t>
      </w:r>
      <w:r>
        <w:rPr>
          <w:rFonts w:hint="eastAsia"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表示方位时，“E、S、W、N”分别表示东、南、西、北</w:t>
      </w:r>
      <w:r>
        <w:rPr>
          <w:rFonts w:hint="eastAsia" w:eastAsia="仿宋_GB2312" w:cs="Times New Roman"/>
          <w:color w:val="auto"/>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5</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除</w:t>
      </w:r>
      <w:r>
        <w:rPr>
          <w:rFonts w:hint="default" w:ascii="Times New Roman" w:hAnsi="Times New Roman" w:eastAsia="仿宋_GB2312" w:cs="Times New Roman"/>
          <w:color w:val="auto"/>
          <w:sz w:val="32"/>
          <w:szCs w:val="32"/>
          <w:lang w:val="en-US" w:eastAsia="zh-CN"/>
        </w:rPr>
        <w:t>独立接闪器的接地电阻</w:t>
      </w:r>
      <w:r>
        <w:rPr>
          <w:rFonts w:hint="eastAsia" w:eastAsia="仿宋_GB2312" w:cs="Times New Roman"/>
          <w:color w:val="auto"/>
          <w:sz w:val="32"/>
          <w:szCs w:val="32"/>
          <w:lang w:val="en-US" w:eastAsia="zh-CN"/>
        </w:rPr>
        <w:t>或</w:t>
      </w:r>
      <w:r>
        <w:rPr>
          <w:rFonts w:hint="default" w:ascii="Times New Roman" w:hAnsi="Times New Roman" w:eastAsia="仿宋_GB2312" w:cs="Times New Roman"/>
          <w:color w:val="auto"/>
          <w:sz w:val="32"/>
          <w:szCs w:val="32"/>
        </w:rPr>
        <w:t>明确标注外，接地电阻值均为工频接地电阻值。</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16" w:name="_Toc31636"/>
      <w:bookmarkStart w:id="17" w:name="_Toc9164"/>
      <w:r>
        <w:rPr>
          <w:rFonts w:hint="eastAsia" w:ascii="黑体" w:hAnsi="黑体" w:eastAsia="黑体" w:cs="黑体"/>
          <w:b w:val="0"/>
          <w:bCs w:val="0"/>
          <w:color w:val="auto"/>
          <w:sz w:val="32"/>
          <w:szCs w:val="32"/>
          <w:lang w:val="en-US" w:eastAsia="zh-CN"/>
        </w:rPr>
        <w:t>1.6 判定标准及要点</w:t>
      </w:r>
      <w:bookmarkEnd w:id="16"/>
      <w:bookmarkEnd w:id="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模板针对各子项列举了普遍涉及的规范标准要点，在具体业务使用中各</w:t>
      </w:r>
      <w:r>
        <w:rPr>
          <w:rFonts w:hint="eastAsia" w:ascii="Times New Roman" w:hAnsi="Times New Roman" w:eastAsia="仿宋_GB2312" w:cs="Times New Roman"/>
          <w:color w:val="auto"/>
          <w:sz w:val="32"/>
          <w:szCs w:val="32"/>
          <w:lang w:val="en-US" w:eastAsia="zh-CN"/>
        </w:rPr>
        <w:t>检测机构</w:t>
      </w:r>
      <w:r>
        <w:rPr>
          <w:rFonts w:hint="default" w:ascii="Times New Roman" w:hAnsi="Times New Roman" w:eastAsia="仿宋_GB2312" w:cs="Times New Roman"/>
          <w:color w:val="auto"/>
          <w:sz w:val="32"/>
          <w:szCs w:val="32"/>
        </w:rPr>
        <w:t>应根据特定检测对象的性质引用对应规范标准，</w:t>
      </w:r>
      <w:r>
        <w:rPr>
          <w:rFonts w:hint="default" w:ascii="Times New Roman" w:hAnsi="Times New Roman" w:eastAsia="仿宋_GB2312" w:cs="Times New Roman"/>
          <w:color w:val="auto"/>
          <w:sz w:val="32"/>
          <w:szCs w:val="32"/>
          <w:lang w:val="en-US" w:eastAsia="zh-CN"/>
        </w:rPr>
        <w:t>按照</w:t>
      </w:r>
      <w:r>
        <w:rPr>
          <w:rFonts w:hint="default" w:ascii="Times New Roman" w:hAnsi="Times New Roman" w:eastAsia="仿宋_GB2312" w:cs="Times New Roman"/>
          <w:color w:val="auto"/>
          <w:sz w:val="32"/>
          <w:szCs w:val="32"/>
        </w:rPr>
        <w:t>标准效力优先级和技术指标要求选取引用优先级高、指标高的要点。</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18" w:name="_Toc36143146"/>
      <w:bookmarkStart w:id="19" w:name="_Toc32375"/>
      <w:bookmarkStart w:id="20" w:name="_Toc17463"/>
      <w:bookmarkStart w:id="21" w:name="_Toc27376"/>
      <w:r>
        <w:rPr>
          <w:rFonts w:hint="default" w:ascii="Times New Roman" w:hAnsi="Times New Roman" w:eastAsia="黑体" w:cs="Times New Roman"/>
          <w:color w:val="auto"/>
          <w:sz w:val="32"/>
          <w:szCs w:val="32"/>
          <w:lang w:val="en-US" w:eastAsia="zh-CN"/>
        </w:rPr>
        <w:t>2 封面</w:t>
      </w:r>
      <w:bookmarkEnd w:id="18"/>
      <w:bookmarkEnd w:id="19"/>
      <w:bookmarkEnd w:id="20"/>
      <w:bookmarkEnd w:id="21"/>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22" w:name="_Toc30637"/>
      <w:bookmarkStart w:id="23" w:name="_Toc29352"/>
      <w:r>
        <w:rPr>
          <w:rFonts w:hint="eastAsia" w:ascii="黑体" w:hAnsi="黑体" w:eastAsia="黑体" w:cs="黑体"/>
          <w:b w:val="0"/>
          <w:bCs w:val="0"/>
          <w:color w:val="auto"/>
          <w:sz w:val="32"/>
          <w:szCs w:val="32"/>
          <w:lang w:val="en-US" w:eastAsia="zh-CN"/>
        </w:rPr>
        <w:t>2.1 报告编号</w:t>
      </w:r>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对本单位出具的检测报告所确定的唯一性、连续性编码。编号规则：资质</w:t>
      </w:r>
      <w:r>
        <w:rPr>
          <w:rFonts w:hint="default" w:ascii="Times New Roman" w:hAnsi="Times New Roman" w:eastAsia="仿宋_GB2312" w:cs="Times New Roman"/>
          <w:color w:val="auto"/>
          <w:sz w:val="32"/>
          <w:szCs w:val="32"/>
          <w:lang w:val="en-US" w:eastAsia="zh-CN"/>
        </w:rPr>
        <w:t>证编号</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份</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[检测类别]+四</w:t>
      </w:r>
      <w:r>
        <w:rPr>
          <w:rFonts w:hint="default" w:ascii="Times New Roman" w:hAnsi="Times New Roman" w:eastAsia="仿宋_GB2312" w:cs="Times New Roman"/>
          <w:color w:val="auto"/>
          <w:sz w:val="32"/>
          <w:szCs w:val="32"/>
        </w:rPr>
        <w:t>位数字</w:t>
      </w:r>
      <w:r>
        <w:rPr>
          <w:rFonts w:hint="default" w:ascii="Times New Roman" w:hAnsi="Times New Roman" w:eastAsia="仿宋_GB2312" w:cs="Times New Roman"/>
          <w:color w:val="auto"/>
          <w:sz w:val="32"/>
          <w:szCs w:val="32"/>
          <w:lang w:val="en-US" w:eastAsia="zh-CN"/>
        </w:rPr>
        <w:t>流水号</w:t>
      </w:r>
      <w:r>
        <w:rPr>
          <w:rFonts w:hint="default" w:ascii="Times New Roman" w:hAnsi="Times New Roman" w:eastAsia="仿宋_GB2312" w:cs="Times New Roman"/>
          <w:color w:val="auto"/>
          <w:sz w:val="32"/>
          <w:szCs w:val="32"/>
        </w:rPr>
        <w:t>，其中</w:t>
      </w:r>
      <w:r>
        <w:rPr>
          <w:rFonts w:hint="default" w:ascii="Times New Roman" w:hAnsi="Times New Roman" w:eastAsia="仿宋_GB2312" w:cs="Times New Roman"/>
          <w:color w:val="auto"/>
          <w:sz w:val="32"/>
          <w:szCs w:val="32"/>
          <w:lang w:val="en-US" w:eastAsia="zh-CN"/>
        </w:rPr>
        <w:t>检测类别为验检或定检，四</w:t>
      </w:r>
      <w:r>
        <w:rPr>
          <w:rFonts w:hint="default" w:ascii="Times New Roman" w:hAnsi="Times New Roman" w:eastAsia="仿宋_GB2312" w:cs="Times New Roman"/>
          <w:color w:val="auto"/>
          <w:sz w:val="32"/>
          <w:szCs w:val="32"/>
        </w:rPr>
        <w:t>位数字编码可根据</w:t>
      </w:r>
      <w:r>
        <w:rPr>
          <w:rFonts w:hint="default" w:ascii="Times New Roman" w:hAnsi="Times New Roman" w:eastAsia="仿宋_GB2312" w:cs="Times New Roman"/>
          <w:color w:val="auto"/>
          <w:sz w:val="32"/>
          <w:szCs w:val="32"/>
          <w:lang w:val="en-US" w:eastAsia="zh-CN"/>
        </w:rPr>
        <w:t>公司管理自行编码</w:t>
      </w:r>
      <w:r>
        <w:rPr>
          <w:rFonts w:hint="default" w:ascii="Times New Roman" w:hAnsi="Times New Roman" w:eastAsia="仿宋_GB2312" w:cs="Times New Roman"/>
          <w:color w:val="auto"/>
          <w:sz w:val="32"/>
          <w:szCs w:val="32"/>
        </w:rPr>
        <w:t>。</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示例：</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验收检测</w:t>
      </w:r>
      <w:r>
        <w:rPr>
          <w:rFonts w:hint="eastAsia" w:eastAsia="楷体" w:cs="Times New Roman"/>
          <w:color w:val="auto"/>
          <w:sz w:val="32"/>
          <w:szCs w:val="32"/>
          <w:lang w:val="en-US" w:eastAsia="zh-CN"/>
        </w:rPr>
        <w:t>报告</w:t>
      </w:r>
      <w:r>
        <w:rPr>
          <w:rFonts w:hint="default" w:ascii="Times New Roman" w:hAnsi="Times New Roman" w:eastAsia="楷体" w:cs="Times New Roman"/>
          <w:color w:val="auto"/>
          <w:sz w:val="32"/>
          <w:szCs w:val="32"/>
          <w:lang w:val="en-US" w:eastAsia="zh-CN"/>
        </w:rPr>
        <w:t>编号：1102017010</w:t>
      </w:r>
      <w:r>
        <w:rPr>
          <w:rFonts w:hint="eastAsia" w:eastAsia="楷体" w:cs="Times New Roman"/>
          <w:color w:val="auto"/>
          <w:sz w:val="32"/>
          <w:szCs w:val="32"/>
          <w:lang w:val="en-US" w:eastAsia="zh-CN"/>
        </w:rPr>
        <w:t>〔2026〕</w:t>
      </w:r>
      <w:r>
        <w:rPr>
          <w:rFonts w:hint="default" w:ascii="Times New Roman" w:hAnsi="Times New Roman" w:eastAsia="楷体" w:cs="Times New Roman"/>
          <w:color w:val="auto"/>
          <w:sz w:val="32"/>
          <w:szCs w:val="32"/>
          <w:lang w:val="en-US" w:eastAsia="zh-CN"/>
        </w:rPr>
        <w:t>[验检]0001</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定期检测</w:t>
      </w:r>
      <w:r>
        <w:rPr>
          <w:rFonts w:hint="eastAsia" w:eastAsia="楷体" w:cs="Times New Roman"/>
          <w:color w:val="auto"/>
          <w:sz w:val="32"/>
          <w:szCs w:val="32"/>
          <w:lang w:val="en-US" w:eastAsia="zh-CN"/>
        </w:rPr>
        <w:t>报告</w:t>
      </w:r>
      <w:r>
        <w:rPr>
          <w:rFonts w:hint="default" w:ascii="Times New Roman" w:hAnsi="Times New Roman" w:eastAsia="楷体" w:cs="Times New Roman"/>
          <w:color w:val="auto"/>
          <w:sz w:val="32"/>
          <w:szCs w:val="32"/>
          <w:lang w:val="en-US" w:eastAsia="zh-CN"/>
        </w:rPr>
        <w:t>编号：1102017010</w:t>
      </w:r>
      <w:r>
        <w:rPr>
          <w:rFonts w:hint="eastAsia" w:eastAsia="楷体" w:cs="Times New Roman"/>
          <w:color w:val="auto"/>
          <w:sz w:val="32"/>
          <w:szCs w:val="32"/>
          <w:lang w:val="en-US" w:eastAsia="zh-CN"/>
        </w:rPr>
        <w:t>〔2026〕</w:t>
      </w:r>
      <w:r>
        <w:rPr>
          <w:rFonts w:hint="default" w:ascii="Times New Roman" w:hAnsi="Times New Roman" w:eastAsia="楷体" w:cs="Times New Roman"/>
          <w:color w:val="auto"/>
          <w:sz w:val="32"/>
          <w:szCs w:val="32"/>
          <w:lang w:val="en-US" w:eastAsia="zh-CN"/>
        </w:rPr>
        <w:t>[定检]0001</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24" w:name="_Toc9209"/>
      <w:bookmarkStart w:id="25" w:name="_Toc5149"/>
      <w:r>
        <w:rPr>
          <w:rFonts w:hint="eastAsia" w:ascii="黑体" w:hAnsi="黑体" w:eastAsia="黑体" w:cs="黑体"/>
          <w:b w:val="0"/>
          <w:bCs w:val="0"/>
          <w:color w:val="auto"/>
          <w:sz w:val="32"/>
          <w:szCs w:val="32"/>
          <w:lang w:val="en-US" w:eastAsia="zh-CN"/>
        </w:rPr>
        <w:t>2.2 报告二维码</w:t>
      </w:r>
      <w:bookmarkEnd w:id="24"/>
      <w:bookmarkEnd w:id="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此码为全国防雷减灾综合管理服务平台</w:t>
      </w:r>
      <w:r>
        <w:rPr>
          <w:rFonts w:hint="default" w:ascii="Times New Roman" w:hAnsi="Times New Roman" w:eastAsia="仿宋_GB2312" w:cs="Times New Roman"/>
          <w:color w:val="auto"/>
          <w:sz w:val="32"/>
          <w:szCs w:val="32"/>
          <w:lang w:val="en-US" w:eastAsia="zh-CN"/>
        </w:rPr>
        <w:t>或省（区）级防雷监管平台生成的雷电防护装置检测报告二维码</w:t>
      </w:r>
      <w:r>
        <w:rPr>
          <w:rFonts w:hint="default" w:ascii="Times New Roman" w:hAnsi="Times New Roman" w:eastAsia="仿宋_GB2312" w:cs="Times New Roman"/>
          <w:color w:val="auto"/>
          <w:sz w:val="32"/>
          <w:szCs w:val="32"/>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26" w:name="_Toc6411"/>
      <w:bookmarkStart w:id="27" w:name="_Toc31627"/>
      <w:r>
        <w:rPr>
          <w:rFonts w:hint="eastAsia" w:ascii="黑体" w:hAnsi="黑体" w:eastAsia="黑体" w:cs="黑体"/>
          <w:b w:val="0"/>
          <w:bCs w:val="0"/>
          <w:color w:val="auto"/>
          <w:sz w:val="32"/>
          <w:szCs w:val="32"/>
          <w:lang w:val="en-US" w:eastAsia="zh-CN"/>
        </w:rPr>
        <w:t>2.3 项目名称</w:t>
      </w:r>
      <w:bookmarkEnd w:id="26"/>
      <w:bookmarkEnd w:id="2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合同中约定的接受雷电防护装置检测具体项目</w:t>
      </w:r>
      <w:r>
        <w:rPr>
          <w:rFonts w:hint="eastAsia"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lang w:val="en-US" w:eastAsia="zh-CN"/>
        </w:rPr>
        <w:t>名称。</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28" w:name="_Toc8688"/>
      <w:bookmarkStart w:id="29" w:name="_Toc20533"/>
      <w:r>
        <w:rPr>
          <w:rFonts w:hint="eastAsia" w:ascii="黑体" w:hAnsi="黑体" w:eastAsia="黑体" w:cs="黑体"/>
          <w:b w:val="0"/>
          <w:bCs w:val="0"/>
          <w:color w:val="auto"/>
          <w:sz w:val="32"/>
          <w:szCs w:val="32"/>
          <w:lang w:val="en-US" w:eastAsia="zh-CN"/>
        </w:rPr>
        <w:t>2.4 项目地址</w:t>
      </w:r>
      <w:bookmarkEnd w:id="28"/>
      <w:bookmarkEnd w:id="2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合同中约定的接受雷电防护装置检测具体项目的地址。</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30" w:name="_Toc11722"/>
      <w:bookmarkStart w:id="31" w:name="_Toc1378"/>
      <w:r>
        <w:rPr>
          <w:rFonts w:hint="eastAsia" w:ascii="黑体" w:hAnsi="黑体" w:eastAsia="黑体" w:cs="黑体"/>
          <w:b w:val="0"/>
          <w:bCs w:val="0"/>
          <w:color w:val="auto"/>
          <w:sz w:val="32"/>
          <w:szCs w:val="32"/>
          <w:lang w:val="en-US" w:eastAsia="zh-CN"/>
        </w:rPr>
        <w:t>2.5 委托单位</w:t>
      </w:r>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接受雷电防护装置检测的单位名称，一般为雷电防护装置的产权单</w:t>
      </w:r>
      <w:r>
        <w:rPr>
          <w:rFonts w:hint="eastAsia" w:eastAsia="仿宋_GB2312" w:cs="Times New Roman"/>
          <w:color w:val="auto"/>
          <w:sz w:val="32"/>
          <w:szCs w:val="32"/>
          <w:lang w:val="en-US" w:eastAsia="zh-CN"/>
        </w:rPr>
        <w:t>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使用单位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管理单位。</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32" w:name="_Toc19715"/>
      <w:bookmarkStart w:id="33" w:name="_Toc32092"/>
      <w:r>
        <w:rPr>
          <w:rFonts w:hint="eastAsia" w:ascii="黑体" w:hAnsi="黑体" w:eastAsia="黑体" w:cs="黑体"/>
          <w:b w:val="0"/>
          <w:bCs w:val="0"/>
          <w:color w:val="auto"/>
          <w:sz w:val="32"/>
          <w:szCs w:val="32"/>
          <w:lang w:val="en-US" w:eastAsia="zh-CN"/>
        </w:rPr>
        <w:t xml:space="preserve">2.6 </w:t>
      </w:r>
      <w:bookmarkEnd w:id="32"/>
      <w:r>
        <w:rPr>
          <w:rFonts w:hint="eastAsia" w:ascii="黑体" w:hAnsi="黑体" w:eastAsia="黑体" w:cs="黑体"/>
          <w:b w:val="0"/>
          <w:bCs w:val="0"/>
          <w:color w:val="auto"/>
          <w:sz w:val="32"/>
          <w:szCs w:val="32"/>
          <w:lang w:val="en-US" w:eastAsia="zh-CN"/>
        </w:rPr>
        <w:t>检测机构</w:t>
      </w:r>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承担检测的</w:t>
      </w: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全称，必须与检测资质证号所属的</w:t>
      </w: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名称和公章一致。</w:t>
      </w:r>
      <w:r>
        <w:rPr>
          <w:rFonts w:hint="eastAsia" w:ascii="Times New Roman" w:hAnsi="Times New Roman" w:eastAsia="仿宋_GB2312" w:cs="Times New Roman"/>
          <w:color w:val="auto"/>
          <w:sz w:val="32"/>
          <w:szCs w:val="32"/>
          <w:lang w:val="en-US" w:eastAsia="zh-CN"/>
        </w:rPr>
        <w:t>该处</w:t>
      </w:r>
      <w:r>
        <w:rPr>
          <w:rFonts w:hint="default" w:ascii="Times New Roman" w:hAnsi="Times New Roman" w:eastAsia="仿宋_GB2312" w:cs="Times New Roman"/>
          <w:color w:val="auto"/>
          <w:sz w:val="32"/>
          <w:szCs w:val="32"/>
          <w:lang w:val="en-US" w:eastAsia="zh-CN"/>
        </w:rPr>
        <w:t>加盖</w:t>
      </w:r>
      <w:r>
        <w:rPr>
          <w:rFonts w:hint="eastAsia" w:ascii="Times New Roman" w:hAnsi="Times New Roman" w:eastAsia="仿宋_GB2312" w:cs="Times New Roman"/>
          <w:color w:val="auto"/>
          <w:sz w:val="32"/>
          <w:szCs w:val="32"/>
          <w:lang w:val="en-US" w:eastAsia="zh-CN"/>
        </w:rPr>
        <w:t>检测机构</w:t>
      </w:r>
      <w:r>
        <w:rPr>
          <w:rFonts w:hint="default" w:ascii="Times New Roman" w:hAnsi="Times New Roman" w:eastAsia="仿宋_GB2312" w:cs="Times New Roman"/>
          <w:color w:val="auto"/>
          <w:sz w:val="32"/>
          <w:szCs w:val="32"/>
          <w:lang w:val="en-US" w:eastAsia="zh-CN"/>
        </w:rPr>
        <w:t>公章。</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34" w:name="_Toc13118"/>
      <w:bookmarkStart w:id="35" w:name="_Toc6249"/>
      <w:bookmarkStart w:id="36" w:name="_Toc10082"/>
      <w:bookmarkStart w:id="37" w:name="_Toc36143147"/>
      <w:r>
        <w:rPr>
          <w:rFonts w:hint="default" w:ascii="Times New Roman" w:hAnsi="Times New Roman" w:eastAsia="黑体" w:cs="Times New Roman"/>
          <w:color w:val="auto"/>
          <w:sz w:val="32"/>
          <w:szCs w:val="32"/>
          <w:lang w:val="en-US" w:eastAsia="zh-CN"/>
        </w:rPr>
        <w:t>3 声明</w:t>
      </w:r>
      <w:bookmarkEnd w:id="34"/>
      <w:bookmarkEnd w:id="35"/>
      <w:bookmarkEnd w:id="3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pacing w:val="-6"/>
          <w:sz w:val="32"/>
          <w:szCs w:val="32"/>
          <w:lang w:val="en-US" w:eastAsia="zh-CN"/>
        </w:rPr>
      </w:pPr>
      <w:bookmarkStart w:id="38" w:name="_Toc20782"/>
      <w:bookmarkStart w:id="39" w:name="_Toc4181"/>
      <w:r>
        <w:rPr>
          <w:rFonts w:hint="eastAsia" w:ascii="Times New Roman" w:hAnsi="Times New Roman" w:eastAsia="仿宋_GB2312" w:cs="Times New Roman"/>
          <w:color w:val="auto"/>
          <w:sz w:val="32"/>
          <w:szCs w:val="32"/>
          <w:lang w:val="en-US" w:eastAsia="zh-CN"/>
        </w:rPr>
        <w:t>检测机构信息：单位名称是法人资格证书中的名称与资质证</w:t>
      </w:r>
      <w:r>
        <w:rPr>
          <w:rFonts w:hint="eastAsia" w:ascii="Times New Roman" w:hAnsi="Times New Roman" w:eastAsia="仿宋_GB2312" w:cs="Times New Roman"/>
          <w:color w:val="auto"/>
          <w:spacing w:val="-6"/>
          <w:sz w:val="32"/>
          <w:szCs w:val="32"/>
          <w:lang w:val="en-US" w:eastAsia="zh-CN"/>
        </w:rPr>
        <w:t>中的名称必须一致；办公地址为办公场所所在地；联系电话必须是检测机构人员座机或手机号码；检测资质证二维码为气象主管机构颁发的资质证中的二维码，具有唯一性，二维码大小适当即可。</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40" w:name="_Toc16515"/>
      <w:r>
        <w:rPr>
          <w:rFonts w:hint="default" w:ascii="Times New Roman" w:hAnsi="Times New Roman" w:eastAsia="黑体" w:cs="Times New Roman"/>
          <w:color w:val="auto"/>
          <w:sz w:val="32"/>
          <w:szCs w:val="32"/>
          <w:lang w:val="en-US" w:eastAsia="zh-CN"/>
        </w:rPr>
        <w:t>4 雷电防护装置检测报告总表</w:t>
      </w:r>
      <w:bookmarkEnd w:id="37"/>
      <w:bookmarkEnd w:id="38"/>
      <w:bookmarkEnd w:id="39"/>
      <w:bookmarkEnd w:id="40"/>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41" w:name="_Toc5607"/>
      <w:bookmarkStart w:id="42" w:name="_Toc19640"/>
      <w:r>
        <w:rPr>
          <w:rFonts w:hint="eastAsia" w:ascii="黑体" w:hAnsi="黑体" w:eastAsia="黑体" w:cs="黑体"/>
          <w:b w:val="0"/>
          <w:bCs w:val="0"/>
          <w:color w:val="auto"/>
          <w:sz w:val="32"/>
          <w:szCs w:val="32"/>
          <w:lang w:val="en-US" w:eastAsia="zh-CN"/>
        </w:rPr>
        <w:t>4.1页码</w:t>
      </w:r>
      <w:bookmarkEnd w:id="41"/>
      <w:bookmarkEnd w:id="4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检测报告除封面外，应统一编制页码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页码必须连续编号</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检测机构</w:t>
      </w:r>
      <w:r>
        <w:rPr>
          <w:rFonts w:hint="default" w:ascii="Times New Roman" w:hAnsi="Times New Roman" w:eastAsia="仿宋_GB2312" w:cs="Times New Roman"/>
          <w:color w:val="auto"/>
          <w:sz w:val="32"/>
          <w:szCs w:val="32"/>
          <w:lang w:val="en-US" w:eastAsia="zh-CN"/>
        </w:rPr>
        <w:t>通过办公软件在</w:t>
      </w:r>
      <w:r>
        <w:rPr>
          <w:rFonts w:hint="default" w:ascii="Times New Roman" w:hAnsi="Times New Roman" w:eastAsia="仿宋_GB2312" w:cs="Times New Roman"/>
          <w:color w:val="auto"/>
          <w:sz w:val="32"/>
          <w:szCs w:val="32"/>
        </w:rPr>
        <w:t>每页</w:t>
      </w:r>
      <w:r>
        <w:rPr>
          <w:rFonts w:hint="default" w:ascii="Times New Roman" w:hAnsi="Times New Roman" w:eastAsia="仿宋_GB2312" w:cs="Times New Roman"/>
          <w:color w:val="auto"/>
          <w:sz w:val="32"/>
          <w:szCs w:val="32"/>
          <w:lang w:val="en-US" w:eastAsia="zh-CN"/>
        </w:rPr>
        <w:t>下端居中页脚位置插入页码，自动生成，格式为</w:t>
      </w:r>
      <w:r>
        <w:rPr>
          <w:rFonts w:hint="default" w:ascii="Times New Roman" w:hAnsi="Times New Roman" w:eastAsia="仿宋_GB2312" w:cs="Times New Roman"/>
          <w:color w:val="auto"/>
          <w:sz w:val="32"/>
          <w:szCs w:val="32"/>
        </w:rPr>
        <w:t>：第X页共XX页。</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43" w:name="_Toc21386"/>
      <w:bookmarkStart w:id="44" w:name="_Toc16470"/>
      <w:r>
        <w:rPr>
          <w:rFonts w:hint="eastAsia" w:ascii="黑体" w:hAnsi="黑体" w:eastAsia="黑体" w:cs="黑体"/>
          <w:b w:val="0"/>
          <w:bCs w:val="0"/>
          <w:color w:val="auto"/>
          <w:sz w:val="32"/>
          <w:szCs w:val="32"/>
          <w:lang w:val="en-US" w:eastAsia="zh-CN"/>
        </w:rPr>
        <w:t>4.2 检测项目列表</w:t>
      </w:r>
      <w:bookmarkEnd w:id="43"/>
      <w:bookmarkEnd w:id="4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按照单体名称逐一</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，与检测表顺序一致</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单体</w:t>
      </w:r>
      <w:r>
        <w:rPr>
          <w:rFonts w:hint="default" w:ascii="Times New Roman" w:hAnsi="Times New Roman" w:eastAsia="仿宋_GB2312" w:cs="Times New Roman"/>
          <w:color w:val="auto"/>
          <w:sz w:val="32"/>
          <w:szCs w:val="32"/>
        </w:rPr>
        <w:t>可以是建（构）筑物、户外装置、信息机房、储罐等特定对象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检测结论是单体的检测结果，</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“符合”或“不符合”</w:t>
      </w:r>
      <w:r>
        <w:rPr>
          <w:rFonts w:hint="default" w:ascii="Times New Roman" w:hAnsi="Times New Roman" w:eastAsia="仿宋_GB2312" w:cs="Times New Roman"/>
          <w:color w:val="auto"/>
          <w:sz w:val="32"/>
          <w:szCs w:val="32"/>
        </w:rPr>
        <w:t>。</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示例：</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01号储油（气）罐、02号储油（气）罐……每个储油（气）罐为一个单体，不能将整个储油（气）罐区作为一个单体编制检测表，每个独立储油（气）罐应有一个对应的单体名称和检测表。</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楷体" w:cs="Times New Roman"/>
          <w:color w:val="auto"/>
          <w:spacing w:val="-6"/>
          <w:sz w:val="32"/>
          <w:szCs w:val="32"/>
          <w:lang w:val="en-US" w:eastAsia="zh-CN"/>
        </w:rPr>
      </w:pPr>
      <w:r>
        <w:rPr>
          <w:rFonts w:hint="default" w:ascii="Times New Roman" w:hAnsi="Times New Roman" w:eastAsia="楷体" w:cs="Times New Roman"/>
          <w:color w:val="auto"/>
          <w:spacing w:val="-6"/>
          <w:sz w:val="32"/>
          <w:szCs w:val="32"/>
          <w:lang w:val="en-US" w:eastAsia="zh-CN"/>
        </w:rPr>
        <w:t>01号风塔、02号风塔……不能将整体多个风塔作为一个单体编制检测表，每个独立风塔应有一个对应的单体名称和检测表。</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楷体" w:cs="Times New Roman"/>
          <w:color w:val="auto"/>
          <w:sz w:val="32"/>
          <w:szCs w:val="32"/>
        </w:rPr>
      </w:pPr>
      <w:r>
        <w:rPr>
          <w:rFonts w:hint="default" w:ascii="Times New Roman" w:hAnsi="Times New Roman" w:eastAsia="楷体" w:cs="Times New Roman"/>
          <w:color w:val="auto"/>
          <w:sz w:val="32"/>
          <w:szCs w:val="32"/>
          <w:lang w:val="en-US" w:eastAsia="zh-CN"/>
        </w:rPr>
        <w:t>01号光伏阵列、02号光伏阵列……不能将整体多个光伏阵列作为一个单体编制检测表，每个独立光伏阵列应有一个对应的单体名称和检测表。</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45" w:name="_Toc26132"/>
      <w:bookmarkStart w:id="46" w:name="_Toc17957"/>
      <w:r>
        <w:rPr>
          <w:rFonts w:hint="eastAsia" w:ascii="黑体" w:hAnsi="黑体" w:eastAsia="黑体" w:cs="黑体"/>
          <w:b w:val="0"/>
          <w:bCs w:val="0"/>
          <w:color w:val="auto"/>
          <w:sz w:val="32"/>
          <w:szCs w:val="32"/>
          <w:lang w:val="en-US" w:eastAsia="zh-CN"/>
        </w:rPr>
        <w:t>4.3 本次检测时间</w:t>
      </w:r>
      <w:bookmarkEnd w:id="45"/>
      <w:bookmarkEnd w:id="46"/>
    </w:p>
    <w:p>
      <w:pPr>
        <w:pStyle w:val="5"/>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整个项目开始检测和结束检测时间。</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47" w:name="_Toc26786"/>
      <w:bookmarkStart w:id="48" w:name="_Toc22168"/>
      <w:r>
        <w:rPr>
          <w:rFonts w:hint="eastAsia" w:ascii="黑体" w:hAnsi="黑体" w:eastAsia="黑体" w:cs="黑体"/>
          <w:b w:val="0"/>
          <w:bCs w:val="0"/>
          <w:color w:val="auto"/>
          <w:sz w:val="32"/>
          <w:szCs w:val="32"/>
          <w:lang w:val="en-US" w:eastAsia="zh-CN"/>
        </w:rPr>
        <w:t>4.4 下次检测时间</w:t>
      </w:r>
      <w:bookmarkEnd w:id="47"/>
      <w:bookmarkEnd w:id="48"/>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从本次检测结束时间按半年或一年计算，下次检测时间从检测周期结束日的第二天开始算起。</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示例：</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本次检测结束时间：</w:t>
      </w:r>
      <w:r>
        <w:rPr>
          <w:rFonts w:hint="eastAsia" w:eastAsia="楷体" w:cs="Times New Roman"/>
          <w:color w:val="auto"/>
          <w:sz w:val="32"/>
          <w:szCs w:val="32"/>
          <w:lang w:val="en-US" w:eastAsia="zh-CN"/>
        </w:rPr>
        <w:t>2026年6月17日</w:t>
      </w:r>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下次检测时间：</w:t>
      </w:r>
      <w:r>
        <w:rPr>
          <w:rFonts w:hint="eastAsia" w:eastAsia="楷体" w:cs="Times New Roman"/>
          <w:color w:val="auto"/>
          <w:sz w:val="32"/>
          <w:szCs w:val="32"/>
          <w:lang w:val="en-US" w:eastAsia="zh-CN"/>
        </w:rPr>
        <w:t>2027年6月18日</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49" w:name="_Toc27660"/>
      <w:bookmarkStart w:id="50" w:name="_Toc25835"/>
      <w:r>
        <w:rPr>
          <w:rFonts w:hint="eastAsia" w:ascii="黑体" w:hAnsi="黑体" w:eastAsia="黑体" w:cs="黑体"/>
          <w:b w:val="0"/>
          <w:bCs w:val="0"/>
          <w:color w:val="auto"/>
          <w:sz w:val="32"/>
          <w:szCs w:val="32"/>
          <w:lang w:val="en-US" w:eastAsia="zh-CN"/>
        </w:rPr>
        <w:t>4.5 检测机构</w:t>
      </w:r>
      <w:bookmarkEnd w:id="49"/>
      <w:bookmarkEnd w:id="50"/>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该处</w:t>
      </w:r>
      <w:r>
        <w:rPr>
          <w:rFonts w:hint="default" w:ascii="Times New Roman" w:hAnsi="Times New Roman" w:eastAsia="仿宋_GB2312" w:cs="Times New Roman"/>
          <w:color w:val="auto"/>
          <w:kern w:val="2"/>
          <w:sz w:val="32"/>
          <w:szCs w:val="32"/>
          <w:lang w:val="en-US" w:eastAsia="zh-CN" w:bidi="ar-SA"/>
        </w:rPr>
        <w:t>加盖</w:t>
      </w:r>
      <w:r>
        <w:rPr>
          <w:rFonts w:hint="eastAsia" w:ascii="Times New Roman" w:hAnsi="Times New Roman" w:eastAsia="仿宋_GB2312" w:cs="Times New Roman"/>
          <w:color w:val="auto"/>
          <w:kern w:val="2"/>
          <w:sz w:val="32"/>
          <w:szCs w:val="32"/>
          <w:lang w:val="en-US" w:eastAsia="zh-CN" w:bidi="ar-SA"/>
        </w:rPr>
        <w:t>检测机构</w:t>
      </w:r>
      <w:r>
        <w:rPr>
          <w:rFonts w:hint="default" w:ascii="Times New Roman" w:hAnsi="Times New Roman" w:eastAsia="仿宋_GB2312" w:cs="Times New Roman"/>
          <w:color w:val="auto"/>
          <w:kern w:val="2"/>
          <w:sz w:val="32"/>
          <w:szCs w:val="32"/>
          <w:lang w:val="en-US" w:eastAsia="zh-CN" w:bidi="ar-SA"/>
        </w:rPr>
        <w:t>公章，</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报告签发当天的日期。</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51" w:name="_Toc4596"/>
      <w:bookmarkStart w:id="52" w:name="_Toc3303"/>
      <w:r>
        <w:rPr>
          <w:rFonts w:hint="eastAsia" w:ascii="黑体" w:hAnsi="黑体" w:eastAsia="黑体" w:cs="黑体"/>
          <w:b w:val="0"/>
          <w:bCs w:val="0"/>
          <w:color w:val="auto"/>
          <w:sz w:val="32"/>
          <w:szCs w:val="32"/>
          <w:lang w:val="en-US" w:eastAsia="zh-CN"/>
        </w:rPr>
        <w:t>4.6 签发人</w:t>
      </w:r>
      <w:bookmarkEnd w:id="51"/>
      <w:bookmarkEnd w:id="5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bCs/>
          <w:color w:val="auto"/>
          <w:kern w:val="2"/>
          <w:sz w:val="32"/>
          <w:szCs w:val="32"/>
          <w:lang w:val="en-US" w:eastAsia="zh-CN" w:bidi="ar-SA"/>
        </w:rPr>
      </w:pP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具有签发报告资格的人员</w:t>
      </w:r>
      <w:r>
        <w:rPr>
          <w:rFonts w:hint="default" w:ascii="Times New Roman" w:hAnsi="Times New Roman" w:eastAsia="仿宋_GB2312" w:cs="Times New Roman"/>
          <w:color w:val="auto"/>
          <w:sz w:val="32"/>
          <w:szCs w:val="32"/>
          <w:lang w:val="en-US" w:eastAsia="zh-CN"/>
        </w:rPr>
        <w:t>应用黑色的钢笔或碳素笔签署或盖章。</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53" w:name="_Toc1113"/>
      <w:bookmarkStart w:id="54" w:name="_Toc32099"/>
      <w:bookmarkStart w:id="55" w:name="_Toc7362"/>
      <w:r>
        <w:rPr>
          <w:rFonts w:hint="default" w:ascii="Times New Roman" w:hAnsi="Times New Roman" w:eastAsia="黑体" w:cs="Times New Roman"/>
          <w:color w:val="auto"/>
          <w:sz w:val="32"/>
          <w:szCs w:val="32"/>
          <w:lang w:val="en-US" w:eastAsia="zh-CN"/>
        </w:rPr>
        <w:t>5 雷电防护装置检测报告综述表</w:t>
      </w:r>
      <w:bookmarkEnd w:id="53"/>
      <w:bookmarkEnd w:id="54"/>
      <w:bookmarkEnd w:id="55"/>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56" w:name="_Toc13266"/>
      <w:bookmarkStart w:id="57" w:name="_Toc15875"/>
      <w:r>
        <w:rPr>
          <w:rFonts w:hint="eastAsia" w:ascii="黑体" w:hAnsi="黑体" w:eastAsia="黑体" w:cs="黑体"/>
          <w:b w:val="0"/>
          <w:bCs w:val="0"/>
          <w:color w:val="auto"/>
          <w:sz w:val="32"/>
          <w:szCs w:val="32"/>
          <w:lang w:val="en-US" w:eastAsia="zh-CN"/>
        </w:rPr>
        <w:t>5.1 隐蔽资料</w:t>
      </w:r>
      <w:bookmarkEnd w:id="56"/>
      <w:bookmarkEnd w:id="57"/>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查阅雷电防护装置的隐蔽工程记录、施工记录、设计</w:t>
      </w:r>
      <w:r>
        <w:rPr>
          <w:rFonts w:hint="eastAsia" w:eastAsia="仿宋_GB2312" w:cs="Times New Roman"/>
          <w:color w:val="auto"/>
          <w:kern w:val="2"/>
          <w:sz w:val="32"/>
          <w:szCs w:val="32"/>
          <w:lang w:val="en-US" w:eastAsia="zh-CN" w:bidi="ar-SA"/>
        </w:rPr>
        <w:t>文件</w:t>
      </w:r>
      <w:r>
        <w:rPr>
          <w:rFonts w:hint="default" w:ascii="Times New Roman" w:hAnsi="Times New Roman" w:eastAsia="仿宋_GB2312" w:cs="Times New Roman"/>
          <w:color w:val="auto"/>
          <w:kern w:val="2"/>
          <w:sz w:val="32"/>
          <w:szCs w:val="32"/>
          <w:lang w:val="en-US" w:eastAsia="zh-CN" w:bidi="ar-SA"/>
        </w:rPr>
        <w:t>、竣工</w:t>
      </w:r>
      <w:r>
        <w:rPr>
          <w:rFonts w:hint="eastAsia" w:eastAsia="仿宋_GB2312" w:cs="Times New Roman"/>
          <w:color w:val="auto"/>
          <w:kern w:val="2"/>
          <w:sz w:val="32"/>
          <w:szCs w:val="32"/>
          <w:lang w:val="en-US" w:eastAsia="zh-CN" w:bidi="ar-SA"/>
        </w:rPr>
        <w:t>文件</w:t>
      </w:r>
      <w:r>
        <w:rPr>
          <w:rFonts w:hint="default" w:ascii="Times New Roman" w:hAnsi="Times New Roman" w:eastAsia="仿宋_GB2312" w:cs="Times New Roman"/>
          <w:color w:val="auto"/>
          <w:kern w:val="2"/>
          <w:sz w:val="32"/>
          <w:szCs w:val="32"/>
          <w:lang w:val="en-US" w:eastAsia="zh-CN" w:bidi="ar-SA"/>
        </w:rPr>
        <w:t>、产品质量文件、运行维护记录或第三方报告等档案资料来获取相关信息。</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查阅数据的真实性和准确性由承担检测的单位负责确认。报告中数据的法律责任由</w:t>
      </w:r>
      <w:r>
        <w:rPr>
          <w:rFonts w:hint="eastAsia" w:ascii="Times New Roman" w:hAnsi="Times New Roman" w:eastAsia="仿宋_GB2312" w:cs="Times New Roman"/>
          <w:color w:val="auto"/>
          <w:kern w:val="2"/>
          <w:sz w:val="32"/>
          <w:szCs w:val="32"/>
          <w:lang w:val="en-US" w:eastAsia="zh-CN" w:bidi="ar-SA"/>
        </w:rPr>
        <w:t>检测机构</w:t>
      </w:r>
      <w:r>
        <w:rPr>
          <w:rFonts w:hint="default" w:ascii="Times New Roman" w:hAnsi="Times New Roman" w:eastAsia="仿宋_GB2312" w:cs="Times New Roman"/>
          <w:color w:val="auto"/>
          <w:kern w:val="2"/>
          <w:sz w:val="32"/>
          <w:szCs w:val="32"/>
          <w:lang w:val="en-US" w:eastAsia="zh-CN" w:bidi="ar-SA"/>
        </w:rPr>
        <w:t>承担。</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58" w:name="_Toc13758"/>
      <w:bookmarkStart w:id="59" w:name="_Toc9848"/>
      <w:r>
        <w:rPr>
          <w:rFonts w:hint="eastAsia" w:ascii="黑体" w:hAnsi="黑体" w:eastAsia="黑体" w:cs="黑体"/>
          <w:b w:val="0"/>
          <w:bCs w:val="0"/>
          <w:color w:val="auto"/>
          <w:sz w:val="32"/>
          <w:szCs w:val="32"/>
          <w:lang w:val="en-US" w:eastAsia="zh-CN"/>
        </w:rPr>
        <w:t>5.2 编制依据</w:t>
      </w:r>
      <w:bookmarkEnd w:id="58"/>
      <w:bookmarkEnd w:id="5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标准应首先按照标准级别排序，国家标准按照标准号从小到大顺序排列，强制性国家标准排在推荐性国家标准前；行业标准按照行业标准代号字母顺序排列，同一行业标准按标准号从小到大顺序排列；地方标准按照标准号从小到大顺序排列；团体标准按照团体标准代号字母顺序排列，同一团体标准按照标准号从小到大顺序排列</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现场检测原始记录</w:t>
      </w:r>
      <w:r>
        <w:rPr>
          <w:rFonts w:hint="eastAsia" w:ascii="Times New Roman" w:hAnsi="Times New Roman" w:eastAsia="仿宋_GB2312" w:cs="Times New Roman"/>
          <w:color w:val="auto"/>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color w:val="auto"/>
          <w:sz w:val="32"/>
          <w:szCs w:val="32"/>
          <w:lang w:eastAsia="zh-CN"/>
        </w:rPr>
      </w:pP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3</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委托单位提供的雷电防护装置设计、竣工、验收等技术资料以及历史检测资料</w:t>
      </w:r>
      <w:r>
        <w:rPr>
          <w:rFonts w:hint="eastAsia" w:ascii="Times New Roman" w:hAnsi="Times New Roman" w:eastAsia="仿宋_GB2312" w:cs="Times New Roman"/>
          <w:color w:val="auto"/>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eastAsia="zh-CN"/>
        </w:rPr>
      </w:pPr>
      <w:r>
        <w:rPr>
          <w:rFonts w:hint="eastAsia"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en-US" w:eastAsia="zh-CN" w:bidi="ar-SA"/>
        </w:rPr>
        <w:t>检测技术方案</w:t>
      </w:r>
      <w:r>
        <w:rPr>
          <w:rFonts w:hint="eastAsia" w:ascii="Times New Roman" w:hAnsi="Times New Roman" w:eastAsia="仿宋_GB2312" w:cs="Times New Roman"/>
          <w:color w:val="auto"/>
          <w:kern w:val="2"/>
          <w:sz w:val="32"/>
          <w:szCs w:val="32"/>
          <w:lang w:val="en-US" w:eastAsia="zh-CN" w:bidi="ar-SA"/>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0" w:name="_Toc20991"/>
      <w:bookmarkStart w:id="61" w:name="_Toc3182"/>
      <w:r>
        <w:rPr>
          <w:rFonts w:hint="eastAsia" w:ascii="黑体" w:hAnsi="黑体" w:eastAsia="黑体" w:cs="黑体"/>
          <w:b w:val="0"/>
          <w:bCs w:val="0"/>
          <w:color w:val="auto"/>
          <w:sz w:val="32"/>
          <w:szCs w:val="32"/>
          <w:lang w:val="en-US" w:eastAsia="zh-CN"/>
        </w:rPr>
        <w:t>5.3 检测仪器</w:t>
      </w:r>
      <w:bookmarkEnd w:id="60"/>
      <w:bookmarkEnd w:id="61"/>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本项目使用的仪器设备</w:t>
      </w:r>
      <w:r>
        <w:rPr>
          <w:rFonts w:hint="eastAsia" w:eastAsia="仿宋_GB2312" w:cs="Times New Roman"/>
          <w:color w:val="auto"/>
          <w:spacing w:val="-6"/>
          <w:kern w:val="2"/>
          <w:sz w:val="32"/>
          <w:szCs w:val="32"/>
          <w:lang w:val="en-US" w:eastAsia="zh-CN" w:bidi="ar-SA"/>
        </w:rPr>
        <w:t>信息，</w:t>
      </w:r>
      <w:r>
        <w:rPr>
          <w:rFonts w:hint="default" w:ascii="Times New Roman" w:hAnsi="Times New Roman" w:eastAsia="仿宋_GB2312" w:cs="Times New Roman"/>
          <w:color w:val="auto"/>
          <w:spacing w:val="-6"/>
          <w:kern w:val="2"/>
          <w:sz w:val="32"/>
          <w:szCs w:val="32"/>
          <w:lang w:val="en-US" w:eastAsia="zh-CN" w:bidi="ar-SA"/>
        </w:rPr>
        <w:t>包括</w:t>
      </w:r>
      <w:r>
        <w:rPr>
          <w:rFonts w:hint="default" w:ascii="Times New Roman" w:hAnsi="Times New Roman" w:eastAsia="仿宋_GB2312" w:cs="Times New Roman"/>
          <w:color w:val="auto"/>
          <w:spacing w:val="-6"/>
          <w:sz w:val="32"/>
          <w:szCs w:val="32"/>
        </w:rPr>
        <w:t>仪器名称、</w:t>
      </w:r>
      <w:r>
        <w:rPr>
          <w:rFonts w:hint="default" w:ascii="Times New Roman" w:hAnsi="Times New Roman" w:eastAsia="仿宋_GB2312" w:cs="Times New Roman"/>
          <w:color w:val="auto"/>
          <w:spacing w:val="-6"/>
          <w:sz w:val="32"/>
          <w:szCs w:val="32"/>
          <w:lang w:val="en-US" w:eastAsia="zh-CN"/>
        </w:rPr>
        <w:t>仪器型号、仪器编号（</w:t>
      </w:r>
      <w:r>
        <w:rPr>
          <w:rFonts w:hint="default" w:ascii="Times New Roman" w:hAnsi="Times New Roman" w:eastAsia="仿宋_GB2312" w:cs="Times New Roman"/>
          <w:color w:val="auto"/>
          <w:spacing w:val="-6"/>
          <w:sz w:val="32"/>
          <w:szCs w:val="32"/>
        </w:rPr>
        <w:t>出厂编号</w:t>
      </w:r>
      <w:r>
        <w:rPr>
          <w:rFonts w:hint="default" w:ascii="Times New Roman" w:hAnsi="Times New Roman" w:eastAsia="仿宋_GB2312" w:cs="Times New Roman"/>
          <w:color w:val="auto"/>
          <w:spacing w:val="-6"/>
          <w:sz w:val="32"/>
          <w:szCs w:val="32"/>
          <w:lang w:val="en-US" w:eastAsia="zh-CN"/>
        </w:rPr>
        <w:t>或</w:t>
      </w:r>
      <w:r>
        <w:rPr>
          <w:rFonts w:hint="default" w:ascii="Times New Roman" w:hAnsi="Times New Roman" w:eastAsia="仿宋_GB2312" w:cs="Times New Roman"/>
          <w:color w:val="auto"/>
          <w:spacing w:val="-6"/>
          <w:sz w:val="32"/>
          <w:szCs w:val="32"/>
        </w:rPr>
        <w:t>自编号</w:t>
      </w:r>
      <w:r>
        <w:rPr>
          <w:rFonts w:hint="default" w:ascii="Times New Roman" w:hAnsi="Times New Roman"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rPr>
        <w:t>、</w:t>
      </w:r>
      <w:r>
        <w:rPr>
          <w:rFonts w:hint="default" w:ascii="Times New Roman" w:hAnsi="Times New Roman" w:eastAsia="仿宋_GB2312" w:cs="Times New Roman"/>
          <w:color w:val="auto"/>
          <w:spacing w:val="-6"/>
          <w:sz w:val="32"/>
          <w:szCs w:val="32"/>
          <w:lang w:val="en-US" w:eastAsia="zh-CN"/>
        </w:rPr>
        <w:t>测量范围、</w:t>
      </w:r>
      <w:r>
        <w:rPr>
          <w:rFonts w:hint="default" w:ascii="Times New Roman" w:hAnsi="Times New Roman" w:eastAsia="仿宋_GB2312" w:cs="Times New Roman"/>
          <w:color w:val="auto"/>
          <w:spacing w:val="-6"/>
          <w:sz w:val="32"/>
          <w:szCs w:val="32"/>
        </w:rPr>
        <w:t>检定/校准证书有效期。</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2" w:name="_Toc8731"/>
      <w:bookmarkStart w:id="63" w:name="_Toc7553"/>
      <w:r>
        <w:rPr>
          <w:rFonts w:hint="eastAsia" w:ascii="黑体" w:hAnsi="黑体" w:eastAsia="黑体" w:cs="黑体"/>
          <w:b w:val="0"/>
          <w:bCs w:val="0"/>
          <w:color w:val="auto"/>
          <w:sz w:val="32"/>
          <w:szCs w:val="32"/>
          <w:lang w:val="en-US" w:eastAsia="zh-CN"/>
        </w:rPr>
        <w:t>5.4 检测综合结论</w:t>
      </w:r>
      <w:bookmarkEnd w:id="62"/>
      <w:bookmarkEnd w:id="6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宋体"/>
          <w:color w:val="auto"/>
          <w:sz w:val="32"/>
          <w:szCs w:val="32"/>
          <w:lang w:eastAsia="zh-CN"/>
        </w:rPr>
      </w:pPr>
      <w:r>
        <w:rPr>
          <w:rFonts w:hint="eastAsia" w:ascii="Times New Roman" w:hAnsi="Times New Roman" w:eastAsia="仿宋_GB2312" w:cs="Times New Roman"/>
          <w:color w:val="auto"/>
          <w:sz w:val="32"/>
          <w:szCs w:val="32"/>
          <w:lang w:eastAsia="zh-CN"/>
        </w:rPr>
        <w:t>检测机构依据技术标准规范，对受检项目整体雷电防护装置的设置情况与综合性能是否合格作出综合评价。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示例：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A.例如某检测项目经过检查、测量、查阅资料后雷电防护装置存在不符合项。检测综合结论格式如下：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1.经本次检查、测量、查阅资料和信息综合分析，得出如下结论：该项目整体雷电防护装置综合评定为</w:t>
      </w:r>
      <w:r>
        <w:rPr>
          <w:rFonts w:hint="default" w:ascii="Times New Roman" w:hAnsi="Times New Roman" w:eastAsia="楷体" w:cs="Times New Roman"/>
          <w:b w:val="0"/>
          <w:bCs w:val="0"/>
          <w:color w:val="auto"/>
          <w:sz w:val="32"/>
          <w:szCs w:val="32"/>
          <w:lang w:val="en-US" w:eastAsia="zh-CN"/>
        </w:rPr>
        <w:sym w:font="Wingdings" w:char="00A8"/>
      </w:r>
      <w:r>
        <w:rPr>
          <w:rFonts w:hint="default" w:ascii="Times New Roman" w:hAnsi="Times New Roman" w:eastAsia="楷体" w:cs="Times New Roman"/>
          <w:b w:val="0"/>
          <w:bCs w:val="0"/>
          <w:color w:val="auto"/>
          <w:sz w:val="32"/>
          <w:szCs w:val="32"/>
          <w:lang w:val="en-US" w:eastAsia="zh-CN"/>
        </w:rPr>
        <w:t>合格或</w:t>
      </w:r>
      <w:r>
        <w:rPr>
          <w:rFonts w:hint="default" w:ascii="Times New Roman" w:hAnsi="Times New Roman" w:eastAsia="楷体" w:cs="Times New Roman"/>
          <w:b w:val="0"/>
          <w:bCs w:val="0"/>
          <w:color w:val="auto"/>
          <w:sz w:val="32"/>
          <w:szCs w:val="32"/>
          <w:lang w:val="en-US" w:eastAsia="zh-CN"/>
        </w:rPr>
        <w:sym w:font="Wingdings" w:char="00FE"/>
      </w:r>
      <w:r>
        <w:rPr>
          <w:rFonts w:hint="default" w:ascii="Times New Roman" w:hAnsi="Times New Roman" w:eastAsia="楷体" w:cs="Times New Roman"/>
          <w:b w:val="0"/>
          <w:bCs w:val="0"/>
          <w:color w:val="auto"/>
          <w:sz w:val="32"/>
          <w:szCs w:val="32"/>
          <w:lang w:val="en-US" w:eastAsia="zh-CN"/>
        </w:rPr>
        <w:t>不合格。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2.该项目雷电防护装置存在以下不符合项：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（1）××建筑物：屋顶××设备未连接到接闪带上</w:t>
      </w:r>
      <w:r>
        <w:rPr>
          <w:rFonts w:hint="eastAsia" w:ascii="Times New Roman" w:hAnsi="Times New Roman" w:eastAsia="楷体" w:cs="Times New Roman"/>
          <w:b w:val="0"/>
          <w:bCs w:val="0"/>
          <w:color w:val="auto"/>
          <w:sz w:val="32"/>
          <w:szCs w:val="32"/>
          <w:lang w:val="en-US" w:eastAsia="zh-CN"/>
        </w:rPr>
        <w:t>，</w:t>
      </w:r>
      <w:r>
        <w:rPr>
          <w:rFonts w:hint="default" w:ascii="Times New Roman" w:hAnsi="Times New Roman" w:eastAsia="楷体" w:cs="Times New Roman"/>
          <w:b w:val="0"/>
          <w:bCs w:val="0"/>
          <w:color w:val="auto"/>
          <w:sz w:val="32"/>
          <w:szCs w:val="32"/>
          <w:lang w:val="en-US" w:eastAsia="zh-CN"/>
        </w:rPr>
        <w:t>总配电室第一级SPD的参数配置不符合规范要求。（详见第××页）；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（2）××机房：××设备与引下线距离小于规定间距</w:t>
      </w:r>
      <w:r>
        <w:rPr>
          <w:rFonts w:hint="eastAsia" w:ascii="Times New Roman" w:hAnsi="Times New Roman" w:eastAsia="楷体" w:cs="Times New Roman"/>
          <w:b w:val="0"/>
          <w:bCs w:val="0"/>
          <w:color w:val="auto"/>
          <w:sz w:val="32"/>
          <w:szCs w:val="32"/>
          <w:lang w:val="en-US" w:eastAsia="zh-CN"/>
        </w:rPr>
        <w:t>，</w:t>
      </w:r>
      <w:r>
        <w:rPr>
          <w:rFonts w:hint="default" w:ascii="Times New Roman" w:hAnsi="Times New Roman" w:eastAsia="楷体" w:cs="Times New Roman"/>
          <w:b w:val="0"/>
          <w:bCs w:val="0"/>
          <w:color w:val="auto"/>
          <w:sz w:val="32"/>
          <w:szCs w:val="32"/>
          <w:lang w:val="en-US" w:eastAsia="zh-CN"/>
        </w:rPr>
        <w:t>机房静电地板支撑件过渡电阻超过规定值。（详见第××页）；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（3）××危险品库：金属门窗过渡电阻值超过规定值。（详见第××页）；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B、例如某检测项目经过检查、测量、查阅资料后雷电防护装置没有不符合项。检测综合结论格式如下：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1.经本次检查、测量、查阅资料和信息综合分析，得出如下结论：该项目整体雷电防护装置综合评定为</w:t>
      </w:r>
      <w:r>
        <w:rPr>
          <w:rFonts w:hint="default" w:ascii="Times New Roman" w:hAnsi="Times New Roman" w:eastAsia="楷体" w:cs="Times New Roman"/>
          <w:b w:val="0"/>
          <w:bCs w:val="0"/>
          <w:color w:val="auto"/>
          <w:sz w:val="32"/>
          <w:szCs w:val="32"/>
          <w:lang w:val="en-US" w:eastAsia="zh-CN"/>
        </w:rPr>
        <w:sym w:font="Wingdings" w:char="00FE"/>
      </w:r>
      <w:r>
        <w:rPr>
          <w:rFonts w:hint="default" w:ascii="Times New Roman" w:hAnsi="Times New Roman" w:eastAsia="楷体" w:cs="Times New Roman"/>
          <w:b w:val="0"/>
          <w:bCs w:val="0"/>
          <w:color w:val="auto"/>
          <w:sz w:val="32"/>
          <w:szCs w:val="32"/>
          <w:lang w:val="en-US" w:eastAsia="zh-CN"/>
        </w:rPr>
        <w:t>合格或</w:t>
      </w:r>
      <w:r>
        <w:rPr>
          <w:rFonts w:hint="default" w:ascii="Times New Roman" w:hAnsi="Times New Roman" w:eastAsia="楷体" w:cs="Times New Roman"/>
          <w:b w:val="0"/>
          <w:bCs w:val="0"/>
          <w:color w:val="auto"/>
          <w:sz w:val="32"/>
          <w:szCs w:val="32"/>
          <w:lang w:val="en-US" w:eastAsia="zh-CN"/>
        </w:rPr>
        <w:sym w:font="Wingdings" w:char="00A8"/>
      </w:r>
      <w:r>
        <w:rPr>
          <w:rFonts w:hint="default" w:ascii="Times New Roman" w:hAnsi="Times New Roman" w:eastAsia="楷体" w:cs="Times New Roman"/>
          <w:b w:val="0"/>
          <w:bCs w:val="0"/>
          <w:color w:val="auto"/>
          <w:sz w:val="32"/>
          <w:szCs w:val="32"/>
          <w:lang w:val="en-US" w:eastAsia="zh-CN"/>
        </w:rPr>
        <w:t>不合格。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2.该项目雷电防护装置存在以下不符合：无。</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4" w:name="_Toc25181"/>
      <w:bookmarkStart w:id="65" w:name="_Toc32408"/>
      <w:r>
        <w:rPr>
          <w:rFonts w:hint="eastAsia" w:ascii="黑体" w:hAnsi="黑体" w:eastAsia="黑体" w:cs="黑体"/>
          <w:b w:val="0"/>
          <w:bCs w:val="0"/>
          <w:color w:val="auto"/>
          <w:sz w:val="32"/>
          <w:szCs w:val="32"/>
          <w:lang w:val="en-US" w:eastAsia="zh-CN"/>
        </w:rPr>
        <w:t>5.5 检测机构</w:t>
      </w:r>
      <w:bookmarkEnd w:id="64"/>
      <w:bookmarkEnd w:id="6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该处</w:t>
      </w:r>
      <w:r>
        <w:rPr>
          <w:rFonts w:hint="default" w:ascii="Times New Roman" w:hAnsi="Times New Roman" w:eastAsia="仿宋_GB2312" w:cs="Times New Roman"/>
          <w:color w:val="auto"/>
          <w:sz w:val="32"/>
          <w:szCs w:val="32"/>
          <w:lang w:val="en-US" w:eastAsia="zh-CN"/>
        </w:rPr>
        <w:t>加盖</w:t>
      </w:r>
      <w:r>
        <w:rPr>
          <w:rFonts w:hint="eastAsia" w:ascii="Times New Roman" w:hAnsi="Times New Roman" w:eastAsia="仿宋_GB2312" w:cs="Times New Roman"/>
          <w:color w:val="auto"/>
          <w:sz w:val="32"/>
          <w:szCs w:val="32"/>
          <w:lang w:eastAsia="zh-CN"/>
        </w:rPr>
        <w:t>检测机构</w:t>
      </w:r>
      <w:r>
        <w:rPr>
          <w:rFonts w:hint="eastAsia" w:eastAsia="仿宋_GB2312" w:cs="Times New Roman"/>
          <w:color w:val="auto"/>
          <w:sz w:val="32"/>
          <w:szCs w:val="32"/>
          <w:lang w:val="en-US" w:eastAsia="zh-CN"/>
        </w:rPr>
        <w:t>专用</w:t>
      </w:r>
      <w:r>
        <w:rPr>
          <w:rFonts w:hint="default" w:ascii="Times New Roman" w:hAnsi="Times New Roman" w:eastAsia="仿宋_GB2312" w:cs="Times New Roman"/>
          <w:color w:val="auto"/>
          <w:sz w:val="32"/>
          <w:szCs w:val="32"/>
          <w:lang w:val="en-US" w:eastAsia="zh-CN"/>
        </w:rPr>
        <w:t>章</w:t>
      </w:r>
      <w:r>
        <w:rPr>
          <w:rFonts w:hint="eastAsia" w:eastAsia="仿宋_GB2312" w:cs="Times New Roman"/>
          <w:color w:val="auto"/>
          <w:sz w:val="32"/>
          <w:szCs w:val="32"/>
          <w:lang w:val="en-US" w:eastAsia="zh-CN"/>
        </w:rPr>
        <w:t>，</w:t>
      </w:r>
      <w:r>
        <w:rPr>
          <w:rFonts w:hint="eastAsia" w:eastAsia="仿宋_GB2312" w:cs="Times New Roman"/>
          <w:color w:val="auto"/>
          <w:kern w:val="2"/>
          <w:sz w:val="32"/>
          <w:szCs w:val="32"/>
          <w:lang w:val="en-US" w:eastAsia="zh-CN" w:bidi="ar-SA"/>
        </w:rPr>
        <w:t>填写盖章</w:t>
      </w:r>
      <w:r>
        <w:rPr>
          <w:rFonts w:hint="default" w:ascii="Times New Roman" w:hAnsi="Times New Roman" w:eastAsia="仿宋_GB2312" w:cs="Times New Roman"/>
          <w:color w:val="auto"/>
          <w:kern w:val="2"/>
          <w:sz w:val="32"/>
          <w:szCs w:val="32"/>
          <w:lang w:val="en-US" w:eastAsia="zh-CN" w:bidi="ar-SA"/>
        </w:rPr>
        <w:t>当天的日期。</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6" w:name="_Toc18132"/>
      <w:bookmarkStart w:id="67" w:name="_Toc29254"/>
      <w:r>
        <w:rPr>
          <w:rFonts w:hint="eastAsia" w:ascii="黑体" w:hAnsi="黑体" w:eastAsia="黑体" w:cs="黑体"/>
          <w:b w:val="0"/>
          <w:bCs w:val="0"/>
          <w:color w:val="auto"/>
          <w:sz w:val="32"/>
          <w:szCs w:val="32"/>
          <w:lang w:val="en-US" w:eastAsia="zh-CN"/>
        </w:rPr>
        <w:t>5.6 年月日</w:t>
      </w:r>
      <w:bookmarkEnd w:id="66"/>
      <w:bookmarkEnd w:id="6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技术负责人</w:t>
      </w:r>
      <w:r>
        <w:rPr>
          <w:rFonts w:hint="eastAsia" w:eastAsia="仿宋_GB2312" w:cs="Times New Roman"/>
          <w:color w:val="auto"/>
          <w:sz w:val="32"/>
          <w:szCs w:val="32"/>
          <w:lang w:val="en-US" w:eastAsia="zh-CN"/>
        </w:rPr>
        <w:t>签字</w:t>
      </w:r>
      <w:r>
        <w:rPr>
          <w:rFonts w:hint="default" w:ascii="Times New Roman" w:hAnsi="Times New Roman" w:eastAsia="仿宋_GB2312" w:cs="Times New Roman"/>
          <w:color w:val="auto"/>
          <w:sz w:val="32"/>
          <w:szCs w:val="32"/>
        </w:rPr>
        <w:t>的日期。</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68" w:name="_Toc29258"/>
      <w:bookmarkStart w:id="69" w:name="_Toc26926"/>
      <w:r>
        <w:rPr>
          <w:rFonts w:hint="eastAsia" w:ascii="黑体" w:hAnsi="黑体" w:eastAsia="黑体" w:cs="黑体"/>
          <w:b w:val="0"/>
          <w:bCs w:val="0"/>
          <w:color w:val="auto"/>
          <w:sz w:val="32"/>
          <w:szCs w:val="32"/>
          <w:lang w:val="en-US" w:eastAsia="zh-CN"/>
        </w:rPr>
        <w:t>5.7 编制人</w:t>
      </w:r>
      <w:bookmarkEnd w:id="68"/>
      <w:bookmarkEnd w:id="6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编制人可以是参与现场</w:t>
      </w:r>
      <w:r>
        <w:rPr>
          <w:rFonts w:hint="default" w:ascii="Times New Roman" w:hAnsi="Times New Roman" w:eastAsia="仿宋_GB2312" w:cs="Times New Roman"/>
          <w:color w:val="auto"/>
          <w:sz w:val="32"/>
          <w:szCs w:val="32"/>
        </w:rPr>
        <w:t>检测</w:t>
      </w:r>
      <w:r>
        <w:rPr>
          <w:rFonts w:hint="default" w:ascii="Times New Roman" w:hAnsi="Times New Roman" w:eastAsia="仿宋_GB2312" w:cs="Times New Roman"/>
          <w:color w:val="auto"/>
          <w:sz w:val="32"/>
          <w:szCs w:val="32"/>
          <w:lang w:val="en-US" w:eastAsia="zh-CN"/>
        </w:rPr>
        <w:t>或未参与现场检测人员，应用黑色的钢笔或碳素笔签署或盖章。</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70" w:name="_Toc1656"/>
      <w:bookmarkStart w:id="71" w:name="_Toc20314"/>
      <w:r>
        <w:rPr>
          <w:rFonts w:hint="eastAsia" w:ascii="黑体" w:hAnsi="黑体" w:eastAsia="黑体" w:cs="黑体"/>
          <w:b w:val="0"/>
          <w:bCs w:val="0"/>
          <w:color w:val="auto"/>
          <w:sz w:val="32"/>
          <w:szCs w:val="32"/>
          <w:lang w:val="en-US" w:eastAsia="zh-CN"/>
        </w:rPr>
        <w:t>5.8 校核人</w:t>
      </w:r>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校核人必须是参与现场检测的人员，</w:t>
      </w:r>
      <w:r>
        <w:rPr>
          <w:rFonts w:hint="default" w:ascii="Times New Roman" w:hAnsi="Times New Roman" w:eastAsia="仿宋_GB2312" w:cs="Times New Roman"/>
          <w:color w:val="auto"/>
          <w:sz w:val="32"/>
          <w:szCs w:val="32"/>
        </w:rPr>
        <w:t>校核报告后</w:t>
      </w:r>
      <w:r>
        <w:rPr>
          <w:rFonts w:hint="default" w:ascii="Times New Roman" w:hAnsi="Times New Roman" w:eastAsia="仿宋_GB2312" w:cs="Times New Roman"/>
          <w:color w:val="auto"/>
          <w:sz w:val="32"/>
          <w:szCs w:val="32"/>
          <w:lang w:val="en-US" w:eastAsia="zh-CN"/>
        </w:rPr>
        <w:t>应用黑色的钢笔或碳素笔签署或盖章</w:t>
      </w:r>
      <w:r>
        <w:rPr>
          <w:rFonts w:hint="default" w:ascii="Times New Roman" w:hAnsi="Times New Roman" w:eastAsia="仿宋_GB2312" w:cs="Times New Roman"/>
          <w:color w:val="auto"/>
          <w:sz w:val="32"/>
          <w:szCs w:val="32"/>
          <w:lang w:eastAsia="zh-CN"/>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sz w:val="32"/>
          <w:szCs w:val="32"/>
          <w:lang w:val="en-US" w:eastAsia="zh-CN"/>
        </w:rPr>
      </w:pPr>
      <w:bookmarkStart w:id="72" w:name="_Toc5637"/>
      <w:bookmarkStart w:id="73" w:name="_Toc1734"/>
      <w:r>
        <w:rPr>
          <w:rFonts w:hint="eastAsia" w:ascii="黑体" w:hAnsi="黑体" w:eastAsia="黑体" w:cs="黑体"/>
          <w:b w:val="0"/>
          <w:bCs w:val="0"/>
          <w:color w:val="auto"/>
          <w:sz w:val="32"/>
          <w:szCs w:val="32"/>
          <w:lang w:val="en-US" w:eastAsia="zh-CN"/>
        </w:rPr>
        <w:t>5.9 技术负责人</w:t>
      </w:r>
      <w:bookmarkEnd w:id="72"/>
      <w:bookmarkEnd w:id="7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检测机构</w:t>
      </w:r>
      <w:r>
        <w:rPr>
          <w:rFonts w:hint="default" w:ascii="Times New Roman" w:hAnsi="Times New Roman" w:eastAsia="仿宋_GB2312" w:cs="Times New Roman"/>
          <w:color w:val="auto"/>
          <w:sz w:val="32"/>
          <w:szCs w:val="32"/>
        </w:rPr>
        <w:t>技术负责人审核确认后</w:t>
      </w:r>
      <w:r>
        <w:rPr>
          <w:rFonts w:hint="default" w:ascii="Times New Roman" w:hAnsi="Times New Roman" w:eastAsia="仿宋_GB2312" w:cs="Times New Roman"/>
          <w:color w:val="auto"/>
          <w:sz w:val="32"/>
          <w:szCs w:val="32"/>
          <w:lang w:val="en-US" w:eastAsia="zh-CN"/>
        </w:rPr>
        <w:t>应用黑色的钢笔或碳素笔签署或盖章</w:t>
      </w:r>
      <w:r>
        <w:rPr>
          <w:rFonts w:hint="default" w:ascii="Times New Roman" w:hAnsi="Times New Roman" w:eastAsia="仿宋_GB2312" w:cs="Times New Roman"/>
          <w:color w:val="auto"/>
          <w:sz w:val="32"/>
          <w:szCs w:val="32"/>
          <w:lang w:eastAsia="zh-CN"/>
        </w:rPr>
        <w:t>。</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74" w:name="_Toc36143148"/>
      <w:bookmarkStart w:id="75" w:name="_Toc8907"/>
      <w:bookmarkStart w:id="76" w:name="_Toc27661"/>
      <w:bookmarkStart w:id="77" w:name="_Toc29662"/>
      <w:r>
        <w:rPr>
          <w:rFonts w:hint="default" w:ascii="Times New Roman" w:hAnsi="Times New Roman" w:eastAsia="黑体" w:cs="Times New Roman"/>
          <w:color w:val="auto"/>
          <w:sz w:val="32"/>
          <w:szCs w:val="32"/>
          <w:lang w:val="en-US" w:eastAsia="zh-CN"/>
        </w:rPr>
        <w:t>6</w:t>
      </w:r>
      <w:bookmarkEnd w:id="74"/>
      <w:r>
        <w:rPr>
          <w:rFonts w:hint="default" w:ascii="Times New Roman" w:hAnsi="Times New Roman" w:eastAsia="黑体" w:cs="Times New Roman"/>
          <w:color w:val="auto"/>
          <w:sz w:val="32"/>
          <w:szCs w:val="32"/>
          <w:lang w:val="en-US" w:eastAsia="zh-CN"/>
        </w:rPr>
        <w:t xml:space="preserve"> 雷电防护装置检测平面示意图</w:t>
      </w:r>
      <w:bookmarkEnd w:id="75"/>
      <w:bookmarkEnd w:id="76"/>
      <w:bookmarkEnd w:id="77"/>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雷电防护装置</w:t>
      </w:r>
      <w:r>
        <w:rPr>
          <w:rFonts w:hint="default" w:ascii="Times New Roman" w:hAnsi="Times New Roman" w:eastAsia="仿宋_GB2312" w:cs="Times New Roman"/>
          <w:color w:val="auto"/>
          <w:sz w:val="32"/>
          <w:szCs w:val="32"/>
          <w:lang w:val="en-US" w:eastAsia="zh-CN"/>
        </w:rPr>
        <w:t>检测平面示意图应有图号（自行编写，序号连续即可）、图名、方位和人员签字。平面示意图可按照实际增加受检单位</w:t>
      </w:r>
      <w:r>
        <w:rPr>
          <w:rFonts w:hint="eastAsia"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lang w:val="en-US" w:eastAsia="zh-CN"/>
        </w:rPr>
        <w:t>全部单体的布局示意图，如平面示意总图，剩余平面示意图必须按照单体进行绘制。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检测机构</w:t>
      </w:r>
      <w:r>
        <w:rPr>
          <w:rFonts w:hint="default" w:ascii="Times New Roman" w:hAnsi="Times New Roman" w:eastAsia="仿宋_GB2312" w:cs="Times New Roman"/>
          <w:color w:val="auto"/>
          <w:sz w:val="32"/>
          <w:szCs w:val="32"/>
          <w:lang w:val="en-US" w:eastAsia="zh-CN"/>
        </w:rPr>
        <w:t>绘制雷电防护装置检测平面示意图后将出现的图例标注在下端，所列图例须在图中有该图例所代表的装置。常见制图符号可参考QX/T 166-2012《防雷工程专业设计常用图形符号》、09DX001《建筑电气工程设计常用图形和文字符号》、GB／T 50786-2012《建筑电气制图标准》。当图例依然无法完全表达检测装置时，可依据简洁化、形象化、便于绘制的原则自行设计图例或用文字表述。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雷电防护装置检测平面示意图</w:t>
      </w:r>
      <w:r>
        <w:rPr>
          <w:rFonts w:hint="default" w:ascii="Times New Roman" w:hAnsi="Times New Roman" w:eastAsia="仿宋_GB2312" w:cs="Times New Roman"/>
          <w:color w:val="auto"/>
          <w:sz w:val="32"/>
          <w:szCs w:val="32"/>
          <w:lang w:eastAsia="zh-CN"/>
        </w:rPr>
        <w:t>应</w:t>
      </w:r>
      <w:r>
        <w:rPr>
          <w:rFonts w:hint="default" w:ascii="Times New Roman" w:hAnsi="Times New Roman" w:eastAsia="仿宋_GB2312" w:cs="Times New Roman"/>
          <w:color w:val="auto"/>
          <w:sz w:val="32"/>
          <w:szCs w:val="32"/>
          <w:lang w:val="en-US" w:eastAsia="zh-CN"/>
        </w:rPr>
        <w:t>含检测对象（单体）的基本要素：被检对象基本形状、被检对象几何</w:t>
      </w:r>
      <w:r>
        <w:rPr>
          <w:rFonts w:hint="eastAsia" w:eastAsia="仿宋_GB2312" w:cs="Times New Roman"/>
          <w:color w:val="auto"/>
          <w:sz w:val="32"/>
          <w:szCs w:val="32"/>
          <w:lang w:val="en-US" w:eastAsia="zh-CN"/>
        </w:rPr>
        <w:t>尺寸</w:t>
      </w:r>
      <w:r>
        <w:rPr>
          <w:rFonts w:hint="default" w:ascii="Times New Roman" w:hAnsi="Times New Roman" w:eastAsia="仿宋_GB2312" w:cs="Times New Roman"/>
          <w:color w:val="auto"/>
          <w:sz w:val="32"/>
          <w:szCs w:val="32"/>
          <w:lang w:val="en-US" w:eastAsia="zh-CN"/>
        </w:rPr>
        <w:t>、接闪器、引下线、接地装置、检测点、电气预留点、配线拓扑和SPD示意图。若单页图幅无法完整绘制，可增设续页补充绘制。</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雷电防护装置检测平面示意图中的制图人、校核人、技术负责人应用黑色的钢笔或碳素笔签署。制图人为绘制该平面图的实际操作人，校核人为参与现场检测的人员</w:t>
      </w:r>
      <w:r>
        <w:rPr>
          <w:rFonts w:hint="eastAsia" w:eastAsia="仿宋_GB2312" w:cs="Times New Roman"/>
          <w:color w:val="auto"/>
          <w:sz w:val="32"/>
          <w:szCs w:val="32"/>
          <w:lang w:val="en-US" w:eastAsia="zh-CN"/>
        </w:rPr>
        <w:t>。</w:t>
      </w:r>
    </w:p>
    <w:p>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b/>
          <w:color w:val="auto"/>
          <w:kern w:val="2"/>
          <w:sz w:val="32"/>
          <w:szCs w:val="32"/>
          <w:lang w:val="en-US" w:eastAsia="zh-CN" w:bidi="ar-SA"/>
        </w:rPr>
        <w:t>注意事项：使用电子签名的，应符合《中华人民共和国电子签名法》相关规定，取得电子认证，签署时电子签名制作数据仅由电子签名人控制，签署后对电子签名的任何改动能够被发现。</w:t>
      </w:r>
    </w:p>
    <w:p>
      <w:pP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br w:type="page"/>
      </w:r>
    </w:p>
    <w:p>
      <w:pPr>
        <w:pStyle w:val="5"/>
        <w:keepNext w:val="0"/>
        <w:keepLines w:val="0"/>
        <w:pageBreakBefore w:val="0"/>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sectPr>
          <w:footerReference r:id="rId9" w:type="first"/>
          <w:footerReference r:id="rId8" w:type="default"/>
          <w:pgSz w:w="11906" w:h="16838"/>
          <w:pgMar w:top="1440" w:right="1406" w:bottom="1440" w:left="1406" w:header="851" w:footer="992" w:gutter="0"/>
          <w:pgBorders>
            <w:top w:val="none" w:color="auto" w:sz="0" w:space="0"/>
            <w:left w:val="none" w:color="auto" w:sz="0" w:space="0"/>
            <w:bottom w:val="none" w:color="auto" w:sz="0" w:space="0"/>
            <w:right w:val="none" w:color="auto" w:sz="0" w:space="0"/>
          </w:pgBorders>
          <w:pgNumType w:fmt="decimal" w:start="1"/>
          <w:cols w:space="720" w:num="1"/>
          <w:titlePg/>
          <w:docGrid w:type="lines" w:linePitch="312" w:charSpace="0"/>
        </w:sectPr>
      </w:pPr>
      <w:r>
        <w:rPr>
          <w:rFonts w:hint="default" w:ascii="Times New Roman" w:hAnsi="Times New Roman" w:eastAsia="仿宋_GB2312" w:cs="Times New Roman"/>
          <w:color w:val="auto"/>
          <w:sz w:val="32"/>
          <w:szCs w:val="32"/>
          <w:lang w:val="en-US" w:eastAsia="zh-CN"/>
        </w:rPr>
        <w:t>示例：</w:t>
      </w:r>
      <w:r>
        <w:rPr>
          <w:rFonts w:hint="default" w:ascii="Times New Roman" w:hAnsi="Times New Roman" w:eastAsia="仿宋_GB2312" w:cs="Times New Roman"/>
          <w:b/>
          <w:bCs/>
          <w:color w:val="auto"/>
          <w:kern w:val="2"/>
          <w:sz w:val="36"/>
          <w:szCs w:val="36"/>
          <w:lang w:val="en-US" w:eastAsia="zh-CN" w:bidi="ar-SA"/>
        </w:rPr>
        <w:t>雷电防护装置检测平面示意总图</w:t>
      </w:r>
      <w:r>
        <w:rPr>
          <w:rFonts w:hint="default" w:ascii="Times New Roman" w:hAnsi="Times New Roman" w:eastAsia="仿宋_GB2312" w:cs="Times New Roman"/>
          <w:color w:val="auto"/>
          <w:kern w:val="2"/>
          <w:sz w:val="32"/>
          <w:szCs w:val="32"/>
          <w:lang w:val="en-US" w:eastAsia="zh-CN" w:bidi="ar-SA"/>
        </w:rPr>
        <w:drawing>
          <wp:inline distT="0" distB="0" distL="114300" distR="114300">
            <wp:extent cx="6097905" cy="8183880"/>
            <wp:effectExtent l="0" t="0" r="17145" b="7620"/>
            <wp:docPr id="5" name="图片 5" descr="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总图"/>
                    <pic:cNvPicPr>
                      <a:picLocks noChangeAspect="1"/>
                    </pic:cNvPicPr>
                  </pic:nvPicPr>
                  <pic:blipFill>
                    <a:blip r:embed="rId11"/>
                    <a:stretch>
                      <a:fillRect/>
                    </a:stretch>
                  </pic:blipFill>
                  <pic:spPr>
                    <a:xfrm>
                      <a:off x="0" y="0"/>
                      <a:ext cx="6097905" cy="8183880"/>
                    </a:xfrm>
                    <a:prstGeom prst="rect">
                      <a:avLst/>
                    </a:prstGeom>
                  </pic:spPr>
                </pic:pic>
              </a:graphicData>
            </a:graphic>
          </wp:inline>
        </w:drawing>
      </w:r>
    </w:p>
    <w:p>
      <w:pPr>
        <w:pStyle w:val="5"/>
        <w:ind w:left="0" w:leftChars="0" w:firstLine="0" w:firstLineChars="0"/>
        <w:jc w:val="center"/>
        <w:rPr>
          <w:rFonts w:hint="default" w:ascii="Times New Roman" w:hAnsi="Times New Roman" w:eastAsia="仿宋_GB2312" w:cs="Times New Roman"/>
          <w:b/>
          <w:bCs/>
          <w:color w:val="auto"/>
          <w:kern w:val="2"/>
          <w:sz w:val="36"/>
          <w:szCs w:val="36"/>
          <w:lang w:val="en-US" w:eastAsia="zh-CN" w:bidi="ar-SA"/>
        </w:rPr>
      </w:pPr>
      <w:r>
        <w:rPr>
          <w:rFonts w:hint="default" w:ascii="Times New Roman" w:hAnsi="Times New Roman" w:eastAsia="仿宋_GB2312" w:cs="Times New Roman"/>
          <w:b/>
          <w:bCs/>
          <w:color w:val="auto"/>
          <w:kern w:val="2"/>
          <w:sz w:val="36"/>
          <w:szCs w:val="36"/>
          <w:lang w:val="en-US" w:eastAsia="zh-CN" w:bidi="ar-SA"/>
        </w:rPr>
        <w:t>检测单体雷电防护装置检测平面示意图</w:t>
      </w:r>
    </w:p>
    <w:p>
      <w:pPr>
        <w:keepNext w:val="0"/>
        <w:keepLines w:val="0"/>
        <w:pageBreakBefore w:val="0"/>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drawing>
          <wp:inline distT="0" distB="0" distL="114300" distR="114300">
            <wp:extent cx="5960745" cy="8194675"/>
            <wp:effectExtent l="0" t="0" r="1905" b="15875"/>
            <wp:docPr id="6" name="图片 6" descr="平面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平面图(1)"/>
                    <pic:cNvPicPr>
                      <a:picLocks noChangeAspect="1"/>
                    </pic:cNvPicPr>
                  </pic:nvPicPr>
                  <pic:blipFill>
                    <a:blip r:embed="rId12"/>
                    <a:stretch>
                      <a:fillRect/>
                    </a:stretch>
                  </pic:blipFill>
                  <pic:spPr>
                    <a:xfrm>
                      <a:off x="0" y="0"/>
                      <a:ext cx="5960745" cy="8194675"/>
                    </a:xfrm>
                    <a:prstGeom prst="rect">
                      <a:avLst/>
                    </a:prstGeom>
                  </pic:spPr>
                </pic:pic>
              </a:graphicData>
            </a:graphic>
          </wp:inline>
        </w:drawing>
      </w:r>
    </w:p>
    <w:p>
      <w:pPr>
        <w:pStyle w:val="5"/>
        <w:ind w:left="0" w:leftChars="0" w:firstLine="0" w:firstLineChars="0"/>
        <w:jc w:val="center"/>
        <w:rPr>
          <w:rFonts w:hint="default" w:ascii="Times New Roman" w:hAnsi="Times New Roman" w:eastAsia="仿宋_GB2312" w:cs="Times New Roman"/>
          <w:b/>
          <w:bCs/>
          <w:color w:val="auto"/>
          <w:kern w:val="2"/>
          <w:sz w:val="36"/>
          <w:szCs w:val="36"/>
          <w:lang w:val="en-US" w:eastAsia="zh-CN" w:bidi="ar-SA"/>
        </w:rPr>
      </w:pPr>
      <w:r>
        <w:rPr>
          <w:rFonts w:hint="default" w:ascii="Times New Roman" w:hAnsi="Times New Roman" w:eastAsia="仿宋_GB2312" w:cs="Times New Roman"/>
          <w:b/>
          <w:bCs/>
          <w:color w:val="auto"/>
          <w:kern w:val="2"/>
          <w:sz w:val="36"/>
          <w:szCs w:val="36"/>
          <w:lang w:val="en-US" w:eastAsia="zh-CN" w:bidi="ar-SA"/>
        </w:rPr>
        <w:t>雷电防护装置检测平面示意总图</w:t>
      </w:r>
    </w:p>
    <w:p>
      <w:pPr>
        <w:pStyle w:val="5"/>
        <w:ind w:left="-199" w:leftChars="-95" w:firstLine="0" w:firstLineChars="0"/>
        <w:jc w:val="center"/>
        <w:rPr>
          <w:rFonts w:hint="default" w:ascii="Times New Roman" w:hAnsi="Times New Roman" w:eastAsia="宋体" w:cs="Times New Roman"/>
          <w:b/>
          <w:bCs/>
          <w:color w:val="auto"/>
          <w:kern w:val="2"/>
          <w:sz w:val="36"/>
          <w:szCs w:val="36"/>
          <w:lang w:val="en-US" w:eastAsia="zh-CN" w:bidi="ar-SA"/>
        </w:rPr>
      </w:pPr>
      <w:r>
        <w:rPr>
          <w:rFonts w:hint="default" w:ascii="Times New Roman" w:hAnsi="Times New Roman" w:eastAsia="宋体" w:cs="Times New Roman"/>
          <w:b/>
          <w:bCs/>
          <w:color w:val="auto"/>
          <w:kern w:val="2"/>
          <w:sz w:val="36"/>
          <w:szCs w:val="36"/>
          <w:lang w:val="en-US" w:eastAsia="zh-CN" w:bidi="ar-SA"/>
        </w:rPr>
        <w:drawing>
          <wp:inline distT="0" distB="0" distL="114300" distR="114300">
            <wp:extent cx="6039485" cy="8300720"/>
            <wp:effectExtent l="0" t="0" r="10795" b="5080"/>
            <wp:docPr id="4" name="图片 4" descr="平面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平面图1"/>
                    <pic:cNvPicPr>
                      <a:picLocks noChangeAspect="1"/>
                    </pic:cNvPicPr>
                  </pic:nvPicPr>
                  <pic:blipFill>
                    <a:blip r:embed="rId13"/>
                    <a:stretch>
                      <a:fillRect/>
                    </a:stretch>
                  </pic:blipFill>
                  <pic:spPr>
                    <a:xfrm>
                      <a:off x="0" y="0"/>
                      <a:ext cx="6039485" cy="8300720"/>
                    </a:xfrm>
                    <a:prstGeom prst="rect">
                      <a:avLst/>
                    </a:prstGeom>
                  </pic:spPr>
                </pic:pic>
              </a:graphicData>
            </a:graphic>
          </wp:inline>
        </w:drawing>
      </w:r>
    </w:p>
    <w:p>
      <w:pPr>
        <w:pStyle w:val="5"/>
        <w:ind w:left="0" w:leftChars="0" w:firstLine="0" w:firstLineChars="0"/>
        <w:jc w:val="center"/>
        <w:rPr>
          <w:rFonts w:hint="default" w:ascii="Times New Roman" w:hAnsi="Times New Roman" w:eastAsia="仿宋_GB2312" w:cs="Times New Roman"/>
          <w:b/>
          <w:bCs/>
          <w:color w:val="auto"/>
          <w:kern w:val="2"/>
          <w:sz w:val="36"/>
          <w:szCs w:val="36"/>
          <w:lang w:val="en-US" w:eastAsia="zh-CN" w:bidi="ar-SA"/>
        </w:rPr>
      </w:pPr>
      <w:r>
        <w:rPr>
          <w:rFonts w:hint="default" w:ascii="Times New Roman" w:hAnsi="Times New Roman" w:eastAsia="仿宋_GB2312" w:cs="Times New Roman"/>
          <w:b/>
          <w:bCs/>
          <w:color w:val="auto"/>
          <w:kern w:val="2"/>
          <w:sz w:val="36"/>
          <w:szCs w:val="36"/>
          <w:lang w:val="en-US" w:eastAsia="zh-CN" w:bidi="ar-SA"/>
        </w:rPr>
        <w:t>检测单体雷电防护装置检测平面示意图</w:t>
      </w:r>
    </w:p>
    <w:p>
      <w:pPr>
        <w:pStyle w:val="5"/>
        <w:ind w:left="-199" w:leftChars="-95" w:firstLine="0" w:firstLineChars="0"/>
        <w:jc w:val="cente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drawing>
          <wp:inline distT="0" distB="0" distL="114300" distR="114300">
            <wp:extent cx="6039485" cy="8188325"/>
            <wp:effectExtent l="0" t="0" r="18415" b="3175"/>
            <wp:docPr id="17" name="图片 17" descr="平面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平面图10"/>
                    <pic:cNvPicPr>
                      <a:picLocks noChangeAspect="1"/>
                    </pic:cNvPicPr>
                  </pic:nvPicPr>
                  <pic:blipFill>
                    <a:blip r:embed="rId14"/>
                    <a:stretch>
                      <a:fillRect/>
                    </a:stretch>
                  </pic:blipFill>
                  <pic:spPr>
                    <a:xfrm>
                      <a:off x="0" y="0"/>
                      <a:ext cx="6039485" cy="8188325"/>
                    </a:xfrm>
                    <a:prstGeom prst="rect">
                      <a:avLst/>
                    </a:prstGeom>
                  </pic:spPr>
                </pic:pic>
              </a:graphicData>
            </a:graphic>
          </wp:inline>
        </w:drawing>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78" w:name="_Toc16774"/>
      <w:bookmarkStart w:id="79" w:name="_Toc8816"/>
      <w:bookmarkStart w:id="80" w:name="_Toc18331"/>
      <w:r>
        <w:rPr>
          <w:rFonts w:hint="default" w:ascii="Times New Roman" w:hAnsi="Times New Roman" w:eastAsia="黑体" w:cs="Times New Roman"/>
          <w:color w:val="auto"/>
          <w:sz w:val="32"/>
          <w:szCs w:val="32"/>
          <w:lang w:val="en-US" w:eastAsia="zh-CN"/>
        </w:rPr>
        <w:t>7 雷电防护装置检测报告——检测点现场图示</w:t>
      </w:r>
      <w:bookmarkEnd w:id="78"/>
      <w:bookmarkEnd w:id="79"/>
      <w:bookmarkEnd w:id="80"/>
    </w:p>
    <w:p>
      <w:pPr>
        <w:pStyle w:val="5"/>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当雷电防护装置平面示意图无法完整反映装置具体细节时或无设计图时，需要根据现场雷电防护装置情况</w:t>
      </w:r>
      <w:r>
        <w:rPr>
          <w:rFonts w:hint="eastAsia" w:eastAsia="仿宋_GB2312" w:cs="Times New Roman"/>
          <w:color w:val="auto"/>
          <w:kern w:val="2"/>
          <w:sz w:val="32"/>
          <w:szCs w:val="32"/>
          <w:lang w:val="en-US" w:eastAsia="zh-CN" w:bidi="ar-SA"/>
        </w:rPr>
        <w:t>绘制</w:t>
      </w:r>
      <w:r>
        <w:rPr>
          <w:rFonts w:hint="default" w:ascii="Times New Roman" w:hAnsi="Times New Roman" w:eastAsia="仿宋_GB2312" w:cs="Times New Roman"/>
          <w:color w:val="auto"/>
          <w:kern w:val="2"/>
          <w:sz w:val="32"/>
          <w:szCs w:val="32"/>
          <w:lang w:val="en-US" w:eastAsia="zh-CN" w:bidi="ar-SA"/>
        </w:rPr>
        <w:t>反映雷电防护装置现状的现场图示，可以是手绘图、局部照片等。当无需要时可不出具此页。</w:t>
      </w:r>
    </w:p>
    <w:p>
      <w:pPr>
        <w:pStyle w:val="5"/>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需注意不要和平面示意图混淆，检测点现场图示为具体的检测点现场图示，而不是建筑物单体雷电防护装置平面示意图。</w:t>
      </w:r>
    </w:p>
    <w:p>
      <w:pPr>
        <w:pStyle w:val="5"/>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楷体" w:cs="Times New Roman"/>
          <w:b w:val="0"/>
          <w:bCs w:val="0"/>
          <w:color w:val="auto"/>
          <w:kern w:val="2"/>
          <w:sz w:val="32"/>
          <w:szCs w:val="32"/>
          <w:lang w:val="en-US" w:eastAsia="zh-CN" w:bidi="ar-SA"/>
        </w:rPr>
      </w:pPr>
      <w:r>
        <w:rPr>
          <w:rFonts w:hint="default" w:ascii="Times New Roman" w:hAnsi="Times New Roman" w:eastAsia="楷体" w:cs="Times New Roman"/>
          <w:b w:val="0"/>
          <w:bCs w:val="0"/>
          <w:color w:val="auto"/>
          <w:kern w:val="2"/>
          <w:sz w:val="32"/>
          <w:szCs w:val="32"/>
          <w:lang w:val="en-US" w:eastAsia="zh-CN" w:bidi="ar-SA"/>
        </w:rPr>
        <w:t>示例：门窗等电位连接、卫星天线的暗敷等电位连接</w:t>
      </w:r>
    </w:p>
    <w:tbl>
      <w:tblPr>
        <w:tblStyle w:val="18"/>
        <w:tblW w:w="9175" w:type="dxa"/>
        <w:tblInd w:w="12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8"/>
        <w:gridCol w:w="3749"/>
        <w:gridCol w:w="927"/>
        <w:gridCol w:w="361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rPr>
          <w:trHeight w:val="90" w:hRule="atLeast"/>
        </w:trPr>
        <w:tc>
          <w:tcPr>
            <w:tcW w:w="888"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kern w:val="2"/>
                <w:sz w:val="21"/>
                <w:szCs w:val="21"/>
                <w:lang w:val="en-US" w:eastAsia="zh-CN" w:bidi="ar-SA"/>
              </w:rPr>
              <w:t>检测点序号</w:t>
            </w:r>
          </w:p>
        </w:tc>
        <w:tc>
          <w:tcPr>
            <w:tcW w:w="3749"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kern w:val="2"/>
                <w:sz w:val="21"/>
                <w:szCs w:val="21"/>
                <w:lang w:val="en-US" w:eastAsia="zh-CN" w:bidi="ar-SA"/>
              </w:rPr>
              <w:t>检测点现场图示</w:t>
            </w:r>
          </w:p>
        </w:tc>
        <w:tc>
          <w:tcPr>
            <w:tcW w:w="927"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kern w:val="2"/>
                <w:sz w:val="21"/>
                <w:szCs w:val="21"/>
                <w:lang w:val="en-US" w:eastAsia="zh-CN" w:bidi="ar-SA"/>
              </w:rPr>
              <w:t>检测点序号</w:t>
            </w:r>
          </w:p>
        </w:tc>
        <w:tc>
          <w:tcPr>
            <w:tcW w:w="3611"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color w:val="auto"/>
                <w:kern w:val="2"/>
                <w:sz w:val="21"/>
                <w:szCs w:val="21"/>
                <w:lang w:val="en-US" w:eastAsia="zh-CN" w:bidi="ar-SA"/>
              </w:rPr>
              <w:t>检测点现场图示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rPr>
          <w:trHeight w:val="3368" w:hRule="atLeast"/>
        </w:trPr>
        <w:tc>
          <w:tcPr>
            <w:tcW w:w="888"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21"/>
                <w:szCs w:val="21"/>
                <w:lang w:val="en-US" w:eastAsia="zh-CN" w:bidi="ar-SA"/>
              </w:rPr>
              <w:t>XX</w:t>
            </w:r>
          </w:p>
        </w:tc>
        <w:tc>
          <w:tcPr>
            <w:tcW w:w="3749"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drawing>
                <wp:inline distT="0" distB="0" distL="114300" distR="114300">
                  <wp:extent cx="2094865" cy="1529715"/>
                  <wp:effectExtent l="0" t="0" r="0" b="0"/>
                  <wp:docPr id="13" name="图片 13" descr="门窗等电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门窗等电位"/>
                          <pic:cNvPicPr>
                            <a:picLocks noChangeAspect="1"/>
                          </pic:cNvPicPr>
                        </pic:nvPicPr>
                        <pic:blipFill>
                          <a:blip r:embed="rId15"/>
                          <a:stretch>
                            <a:fillRect/>
                          </a:stretch>
                        </pic:blipFill>
                        <pic:spPr>
                          <a:xfrm>
                            <a:off x="0" y="0"/>
                            <a:ext cx="2094865" cy="1529715"/>
                          </a:xfrm>
                          <a:prstGeom prst="rect">
                            <a:avLst/>
                          </a:prstGeom>
                        </pic:spPr>
                      </pic:pic>
                    </a:graphicData>
                  </a:graphic>
                </wp:inline>
              </w:drawing>
            </w:r>
          </w:p>
        </w:tc>
        <w:tc>
          <w:tcPr>
            <w:tcW w:w="927"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21"/>
                <w:szCs w:val="21"/>
                <w:lang w:val="en-US" w:eastAsia="zh-CN" w:bidi="ar-SA"/>
              </w:rPr>
              <w:t>XX</w:t>
            </w:r>
          </w:p>
        </w:tc>
        <w:tc>
          <w:tcPr>
            <w:tcW w:w="3611" w:type="dxa"/>
            <w:tcBorders>
              <w:tl2br w:val="nil"/>
              <w:tr2bl w:val="nil"/>
            </w:tcBorders>
            <w:vAlign w:val="center"/>
          </w:tcPr>
          <w:p>
            <w:pPr>
              <w:pStyle w:val="5"/>
              <w:keepNext w:val="0"/>
              <w:keepLines w:val="0"/>
              <w:pageBreakBefore w:val="0"/>
              <w:widowControl w:val="0"/>
              <w:numPr>
                <w:ilvl w:val="0"/>
                <w:numId w:val="0"/>
              </w:numPr>
              <w:kinsoku/>
              <w:wordWrap/>
              <w:overflowPunct/>
              <w:topLinePunct w:val="0"/>
              <w:bidi w:val="0"/>
              <w:adjustRightInd/>
              <w:spacing w:line="360" w:lineRule="auto"/>
              <w:ind w:left="0" w:leftChars="0" w:firstLine="0" w:firstLineChars="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drawing>
                <wp:inline distT="0" distB="0" distL="114300" distR="114300">
                  <wp:extent cx="1917065" cy="1510030"/>
                  <wp:effectExtent l="0" t="0" r="0" b="0"/>
                  <wp:docPr id="15" name="图片 15" descr="卫星天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卫星天线"/>
                          <pic:cNvPicPr>
                            <a:picLocks noChangeAspect="1"/>
                          </pic:cNvPicPr>
                        </pic:nvPicPr>
                        <pic:blipFill>
                          <a:blip r:embed="rId16"/>
                          <a:stretch>
                            <a:fillRect/>
                          </a:stretch>
                        </pic:blipFill>
                        <pic:spPr>
                          <a:xfrm>
                            <a:off x="0" y="0"/>
                            <a:ext cx="1917065" cy="1510030"/>
                          </a:xfrm>
                          <a:prstGeom prst="rect">
                            <a:avLst/>
                          </a:prstGeom>
                        </pic:spPr>
                      </pic:pic>
                    </a:graphicData>
                  </a:graphic>
                </wp:inline>
              </w:drawing>
            </w: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81" w:name="_Toc10944"/>
      <w:bookmarkStart w:id="82" w:name="_Toc25940"/>
      <w:bookmarkStart w:id="83" w:name="_Toc16254"/>
      <w:r>
        <w:rPr>
          <w:rFonts w:hint="default" w:ascii="Times New Roman" w:hAnsi="Times New Roman" w:eastAsia="黑体" w:cs="Times New Roman"/>
          <w:color w:val="auto"/>
          <w:sz w:val="32"/>
          <w:szCs w:val="32"/>
          <w:lang w:val="en-US" w:eastAsia="zh-CN"/>
        </w:rPr>
        <w:t>8 建筑物雷电防护装置检测报告表</w:t>
      </w:r>
      <w:bookmarkEnd w:id="81"/>
      <w:bookmarkEnd w:id="82"/>
      <w:bookmarkEnd w:id="83"/>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84" w:name="_Toc29200"/>
      <w:bookmarkStart w:id="85" w:name="_Toc31758"/>
      <w:r>
        <w:rPr>
          <w:rFonts w:hint="eastAsia" w:ascii="黑体" w:hAnsi="黑体" w:eastAsia="黑体" w:cs="黑体"/>
          <w:b w:val="0"/>
          <w:bCs w:val="0"/>
          <w:color w:val="auto"/>
          <w:lang w:val="en-US" w:eastAsia="zh-CN"/>
        </w:rPr>
        <w:t>8.1 单体编号</w:t>
      </w:r>
      <w:bookmarkEnd w:id="84"/>
      <w:bookmarkEnd w:id="8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检测的建（构）筑物单体</w:t>
      </w:r>
      <w:r>
        <w:rPr>
          <w:rFonts w:hint="default" w:ascii="Times New Roman" w:hAnsi="Times New Roman" w:eastAsia="仿宋_GB2312" w:cs="Times New Roman"/>
          <w:color w:val="auto"/>
          <w:sz w:val="32"/>
          <w:szCs w:val="32"/>
          <w:lang w:val="en-US" w:eastAsia="zh-CN"/>
        </w:rPr>
        <w:t>编号，与总表中的单体一一对应</w:t>
      </w:r>
      <w:r>
        <w:rPr>
          <w:rFonts w:hint="default" w:ascii="Times New Roman" w:hAnsi="Times New Roman" w:eastAsia="仿宋_GB2312" w:cs="Times New Roman"/>
          <w:color w:val="auto"/>
          <w:sz w:val="32"/>
          <w:szCs w:val="32"/>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86" w:name="_Toc25625"/>
      <w:bookmarkStart w:id="87" w:name="_Toc30752"/>
      <w:r>
        <w:rPr>
          <w:rFonts w:hint="eastAsia" w:ascii="黑体" w:hAnsi="黑体" w:eastAsia="黑体" w:cs="黑体"/>
          <w:b w:val="0"/>
          <w:bCs w:val="0"/>
          <w:color w:val="auto"/>
          <w:lang w:val="en-US" w:eastAsia="zh-CN"/>
        </w:rPr>
        <w:t>8.2 单体名称</w:t>
      </w:r>
      <w:bookmarkEnd w:id="86"/>
      <w:bookmarkEnd w:id="8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检测的建（构）筑物</w:t>
      </w:r>
      <w:r>
        <w:rPr>
          <w:rFonts w:hint="default" w:ascii="Times New Roman" w:hAnsi="Times New Roman" w:eastAsia="仿宋_GB2312" w:cs="Times New Roman"/>
          <w:color w:val="auto"/>
          <w:sz w:val="32"/>
          <w:szCs w:val="32"/>
          <w:lang w:val="en-US" w:eastAsia="zh-CN"/>
        </w:rPr>
        <w:t>名称，与总表中的单体名称一一对应</w:t>
      </w:r>
      <w:r>
        <w:rPr>
          <w:rFonts w:hint="default" w:ascii="Times New Roman" w:hAnsi="Times New Roman" w:eastAsia="仿宋_GB2312" w:cs="Times New Roman"/>
          <w:color w:val="auto"/>
          <w:sz w:val="32"/>
          <w:szCs w:val="32"/>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88" w:name="_Toc26582"/>
      <w:bookmarkStart w:id="89" w:name="_Toc10100"/>
      <w:r>
        <w:rPr>
          <w:rFonts w:hint="eastAsia" w:ascii="黑体" w:hAnsi="黑体" w:eastAsia="黑体" w:cs="黑体"/>
          <w:b w:val="0"/>
          <w:bCs w:val="0"/>
          <w:color w:val="auto"/>
          <w:lang w:val="en-US" w:eastAsia="zh-CN"/>
        </w:rPr>
        <w:t>8.3 天气情况</w:t>
      </w:r>
      <w:bookmarkEnd w:id="88"/>
      <w:bookmarkEnd w:id="8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“晴”或“阴”或“多云”等（温度和湿度确有必要时现场测量，</w:t>
      </w:r>
      <w:r>
        <w:rPr>
          <w:rFonts w:hint="eastAsia" w:eastAsia="仿宋_GB2312" w:cs="Times New Roman"/>
          <w:color w:val="auto"/>
          <w:sz w:val="32"/>
          <w:szCs w:val="32"/>
          <w:lang w:val="en-US" w:eastAsia="zh-CN"/>
        </w:rPr>
        <w:t>示例：T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R</w:t>
      </w:r>
      <w:r>
        <w:rPr>
          <w:rFonts w:hint="eastAsia" w:eastAsia="仿宋_GB2312" w:cs="Times New Roman"/>
          <w:color w:val="auto"/>
          <w:sz w:val="32"/>
          <w:szCs w:val="32"/>
          <w:lang w:val="en-US" w:eastAsia="zh-CN"/>
        </w:rPr>
        <w:t>H</w:t>
      </w:r>
      <w:r>
        <w:rPr>
          <w:rFonts w:hint="default" w:ascii="Times New Roman" w:hAnsi="Times New Roman" w:eastAsia="仿宋_GB2312" w:cs="Times New Roman"/>
          <w:color w:val="auto"/>
          <w:sz w:val="32"/>
          <w:szCs w:val="32"/>
          <w:lang w:val="en-US" w:eastAsia="zh-CN"/>
        </w:rPr>
        <w:t>：40%）。</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90" w:name="_Toc16099"/>
      <w:bookmarkStart w:id="91" w:name="_Toc11504"/>
      <w:r>
        <w:rPr>
          <w:rFonts w:hint="eastAsia" w:ascii="黑体" w:hAnsi="黑体" w:eastAsia="黑体" w:cs="黑体"/>
          <w:b w:val="0"/>
          <w:bCs w:val="0"/>
          <w:color w:val="auto"/>
          <w:lang w:val="en-US" w:eastAsia="zh-CN"/>
        </w:rPr>
        <w:t>8.4 使用性质</w:t>
      </w:r>
      <w:bookmarkEnd w:id="90"/>
      <w:bookmarkEnd w:id="91"/>
    </w:p>
    <w:p>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“办公”或“住宅”或“生产”或“仓库”或“仓储”等。</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92" w:name="_Toc6660"/>
      <w:bookmarkStart w:id="93" w:name="_Toc4453"/>
      <w:r>
        <w:rPr>
          <w:rFonts w:hint="eastAsia" w:ascii="黑体" w:hAnsi="黑体" w:eastAsia="黑体" w:cs="黑体"/>
          <w:b w:val="0"/>
          <w:bCs w:val="0"/>
          <w:color w:val="auto"/>
          <w:lang w:val="en-US" w:eastAsia="zh-CN"/>
        </w:rPr>
        <w:t>8.5 防雷分类</w:t>
      </w:r>
      <w:bookmarkEnd w:id="92"/>
      <w:bookmarkEnd w:id="9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eastAsia="zh-CN"/>
        </w:rPr>
      </w:pPr>
      <w:r>
        <w:rPr>
          <w:rFonts w:hint="eastAsia" w:eastAsia="仿宋_GB2312" w:cs="Times New Roman"/>
          <w:color w:val="auto"/>
          <w:sz w:val="32"/>
          <w:szCs w:val="32"/>
          <w:lang w:val="en-US" w:eastAsia="zh-CN"/>
        </w:rPr>
        <w:t>填写“</w:t>
      </w:r>
      <w:r>
        <w:rPr>
          <w:rFonts w:hint="eastAsia" w:eastAsia="仿宋_GB2312" w:cs="Times New Roman"/>
          <w:color w:val="auto"/>
          <w:sz w:val="32"/>
          <w:szCs w:val="32"/>
          <w:highlight w:val="none"/>
          <w:lang w:val="en-US" w:eastAsia="zh-CN"/>
        </w:rPr>
        <w:t>第</w:t>
      </w:r>
      <w:r>
        <w:rPr>
          <w:rFonts w:hint="default" w:ascii="Times New Roman" w:hAnsi="Times New Roman" w:eastAsia="仿宋_GB2312" w:cs="Times New Roman"/>
          <w:color w:val="auto"/>
          <w:sz w:val="32"/>
          <w:szCs w:val="32"/>
        </w:rPr>
        <w:t>一类</w:t>
      </w:r>
      <w:r>
        <w:rPr>
          <w:rFonts w:hint="eastAsia" w:eastAsia="仿宋_GB2312" w:cs="Times New Roman"/>
          <w:color w:val="auto"/>
          <w:sz w:val="32"/>
          <w:szCs w:val="32"/>
          <w:lang w:val="en-US" w:eastAsia="zh-CN"/>
        </w:rPr>
        <w:t>”或“</w:t>
      </w:r>
      <w:r>
        <w:rPr>
          <w:rFonts w:hint="eastAsia" w:eastAsia="仿宋_GB2312" w:cs="Times New Roman"/>
          <w:color w:val="auto"/>
          <w:sz w:val="32"/>
          <w:szCs w:val="32"/>
          <w:highlight w:val="none"/>
          <w:lang w:val="en-US" w:eastAsia="zh-CN"/>
        </w:rPr>
        <w:t>第</w:t>
      </w:r>
      <w:r>
        <w:rPr>
          <w:rFonts w:hint="default" w:ascii="Times New Roman" w:hAnsi="Times New Roman" w:eastAsia="仿宋_GB2312" w:cs="Times New Roman"/>
          <w:color w:val="auto"/>
          <w:sz w:val="32"/>
          <w:szCs w:val="32"/>
        </w:rPr>
        <w:t>二类</w:t>
      </w:r>
      <w:r>
        <w:rPr>
          <w:rFonts w:hint="eastAsia" w:eastAsia="仿宋_GB2312" w:cs="Times New Roman"/>
          <w:color w:val="auto"/>
          <w:sz w:val="32"/>
          <w:szCs w:val="32"/>
          <w:lang w:val="en-US" w:eastAsia="zh-CN"/>
        </w:rPr>
        <w:t>”或“</w:t>
      </w:r>
      <w:r>
        <w:rPr>
          <w:rFonts w:hint="eastAsia" w:eastAsia="仿宋_GB2312" w:cs="Times New Roman"/>
          <w:color w:val="auto"/>
          <w:sz w:val="32"/>
          <w:szCs w:val="32"/>
          <w:highlight w:val="none"/>
          <w:lang w:val="en-US" w:eastAsia="zh-CN"/>
        </w:rPr>
        <w:t>第</w:t>
      </w:r>
      <w:r>
        <w:rPr>
          <w:rFonts w:hint="default" w:ascii="Times New Roman" w:hAnsi="Times New Roman" w:eastAsia="仿宋_GB2312" w:cs="Times New Roman"/>
          <w:color w:val="auto"/>
          <w:sz w:val="32"/>
          <w:szCs w:val="32"/>
        </w:rPr>
        <w:t>三类</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94" w:name="_Toc21921"/>
      <w:bookmarkStart w:id="95" w:name="_Toc29778"/>
      <w:r>
        <w:rPr>
          <w:rFonts w:hint="eastAsia" w:ascii="黑体" w:hAnsi="黑体" w:eastAsia="黑体" w:cs="黑体"/>
          <w:b w:val="0"/>
          <w:bCs w:val="0"/>
          <w:color w:val="auto"/>
          <w:lang w:val="en-US" w:eastAsia="zh-CN"/>
        </w:rPr>
        <w:t>8.6 类别判定依据</w:t>
      </w:r>
      <w:bookmarkEnd w:id="94"/>
      <w:bookmarkEnd w:id="9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定性判断、计算、查阅设计资料等。</w:t>
      </w:r>
      <w:bookmarkStart w:id="96" w:name="_Toc22495"/>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97" w:name="_Toc26611"/>
      <w:r>
        <w:rPr>
          <w:rFonts w:hint="eastAsia" w:ascii="黑体" w:hAnsi="黑体" w:eastAsia="黑体" w:cs="黑体"/>
          <w:b w:val="0"/>
          <w:bCs w:val="0"/>
          <w:color w:val="auto"/>
          <w:lang w:val="en-US" w:eastAsia="zh-CN"/>
        </w:rPr>
        <w:t>8.7 建筑物信息</w:t>
      </w:r>
      <w:bookmarkEnd w:id="97"/>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长、宽、高（m）、建筑</w:t>
      </w:r>
      <w:r>
        <w:rPr>
          <w:rFonts w:hint="eastAsia" w:eastAsia="仿宋_GB2312" w:cs="Times New Roman"/>
          <w:color w:val="auto"/>
          <w:kern w:val="2"/>
          <w:sz w:val="32"/>
          <w:szCs w:val="32"/>
          <w:lang w:val="en-US" w:eastAsia="zh-CN" w:bidi="ar-SA"/>
        </w:rPr>
        <w:t>物</w:t>
      </w:r>
      <w:r>
        <w:rPr>
          <w:rFonts w:hint="default" w:ascii="Times New Roman" w:hAnsi="Times New Roman" w:eastAsia="仿宋_GB2312" w:cs="Times New Roman"/>
          <w:color w:val="auto"/>
          <w:kern w:val="2"/>
          <w:sz w:val="32"/>
          <w:szCs w:val="32"/>
          <w:lang w:val="en-US" w:eastAsia="zh-CN" w:bidi="ar-SA"/>
        </w:rPr>
        <w:t>面积通过现场测量或查阅原设计图纸确定，长、宽、高，单位m，保留小数点后1位；建筑物面积单位m²</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数值取整数。</w:t>
      </w:r>
    </w:p>
    <w:bookmarkEnd w:id="96"/>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98" w:name="_Toc14449"/>
      <w:bookmarkStart w:id="99" w:name="_Toc29989"/>
      <w:r>
        <w:rPr>
          <w:rFonts w:hint="eastAsia" w:ascii="黑体" w:hAnsi="黑体" w:eastAsia="黑体" w:cs="黑体"/>
          <w:b w:val="0"/>
          <w:bCs w:val="0"/>
          <w:color w:val="auto"/>
          <w:lang w:val="en-US" w:eastAsia="zh-CN"/>
        </w:rPr>
        <w:t>8.8 检测时间</w:t>
      </w:r>
      <w:bookmarkEnd w:id="98"/>
      <w:bookmarkEnd w:id="99"/>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每个单体开始和结束时间，与全国防雷减灾综合管理服务平台或省级防雷监管平台时间一致。</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00" w:name="_Toc16063"/>
      <w:bookmarkStart w:id="101" w:name="_Toc27592"/>
      <w:r>
        <w:rPr>
          <w:rFonts w:hint="eastAsia" w:ascii="黑体" w:hAnsi="黑体" w:eastAsia="黑体" w:cs="黑体"/>
          <w:b w:val="0"/>
          <w:bCs w:val="0"/>
          <w:color w:val="auto"/>
          <w:lang w:val="en-US" w:eastAsia="zh-CN"/>
        </w:rPr>
        <w:t>8.9 防雷区</w:t>
      </w:r>
      <w:bookmarkEnd w:id="100"/>
      <w:bookmarkEnd w:id="101"/>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仿宋_GB2312" w:cs="Times New Roman"/>
          <w:color w:val="auto"/>
          <w:sz w:val="32"/>
          <w:szCs w:val="32"/>
          <w:lang w:val="en-US" w:eastAsia="zh-CN"/>
        </w:rPr>
        <w:t>根据被检测单体防雷装置所处的位置进行判定，</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LPZ0</w:t>
      </w:r>
      <w:r>
        <w:rPr>
          <w:rFonts w:hint="default" w:ascii="Times New Roman" w:hAnsi="Times New Roman" w:eastAsia="仿宋_GB2312" w:cs="Times New Roman"/>
          <w:color w:val="auto"/>
          <w:sz w:val="21"/>
          <w:szCs w:val="21"/>
          <w:lang w:val="en-US" w:eastAsia="zh-CN"/>
        </w:rPr>
        <w:t>A、</w:t>
      </w:r>
      <w:r>
        <w:rPr>
          <w:rFonts w:hint="default" w:ascii="Times New Roman" w:hAnsi="Times New Roman" w:eastAsia="仿宋_GB2312" w:cs="Times New Roman"/>
          <w:color w:val="auto"/>
          <w:sz w:val="32"/>
          <w:szCs w:val="32"/>
          <w:lang w:val="en-US" w:eastAsia="zh-CN"/>
        </w:rPr>
        <w:t>LPZ0</w:t>
      </w:r>
      <w:r>
        <w:rPr>
          <w:rFonts w:hint="default" w:ascii="Times New Roman" w:hAnsi="Times New Roman" w:eastAsia="仿宋_GB2312" w:cs="Times New Roman"/>
          <w:color w:val="auto"/>
          <w:sz w:val="21"/>
          <w:szCs w:val="21"/>
          <w:lang w:val="en-US" w:eastAsia="zh-CN"/>
        </w:rPr>
        <w:t>B</w:t>
      </w:r>
      <w:r>
        <w:rPr>
          <w:rFonts w:hint="default" w:ascii="Times New Roman" w:hAnsi="Times New Roman" w:eastAsia="仿宋_GB2312" w:cs="Times New Roman"/>
          <w:color w:val="auto"/>
          <w:sz w:val="32"/>
          <w:szCs w:val="32"/>
          <w:lang w:val="en-US" w:eastAsia="zh-CN"/>
        </w:rPr>
        <w:t>、LPZ1、LPZ2等。</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02" w:name="_Toc29120"/>
      <w:bookmarkStart w:id="103" w:name="_Toc21024"/>
      <w:r>
        <w:rPr>
          <w:rFonts w:hint="eastAsia" w:ascii="黑体" w:hAnsi="黑体" w:eastAsia="黑体" w:cs="黑体"/>
          <w:b w:val="0"/>
          <w:bCs w:val="0"/>
          <w:color w:val="auto"/>
          <w:lang w:val="en-US" w:eastAsia="zh-CN"/>
        </w:rPr>
        <w:t>8.10 接闪装置</w:t>
      </w:r>
      <w:bookmarkEnd w:id="102"/>
      <w:bookmarkEnd w:id="103"/>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（1）类型和方式</w:t>
      </w:r>
    </w:p>
    <w:p>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类型：</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“专设”或“自然”或“混合”。</w:t>
      </w:r>
    </w:p>
    <w:p>
      <w:pPr>
        <w:keepNext w:val="0"/>
        <w:keepLines w:val="0"/>
        <w:pageBreakBefore w:val="0"/>
        <w:kinsoku/>
        <w:wordWrap/>
        <w:overflowPunct/>
        <w:topLinePunct w:val="0"/>
        <w:bidi w:val="0"/>
        <w:adjustRightInd/>
        <w:snapToGrid/>
        <w:spacing w:line="560" w:lineRule="exact"/>
        <w:ind w:left="1598" w:leftChars="304" w:hanging="960" w:hangingChars="3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方式：</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“接闪杆”或“接闪带”或“接闪线”或“接闪网”或“金属构件”或“金属屋面”等。</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02" w:firstLineChars="200"/>
        <w:jc w:val="left"/>
        <w:textAlignment w:val="auto"/>
        <w:rPr>
          <w:rFonts w:hint="default" w:ascii="Times New Roman" w:hAnsi="Times New Roman" w:eastAsia="仿宋_GB2312" w:cs="Times New Roman"/>
          <w:b/>
          <w:bCs/>
          <w:color w:val="auto"/>
          <w:kern w:val="2"/>
          <w:sz w:val="30"/>
          <w:szCs w:val="30"/>
          <w:lang w:val="en-US" w:eastAsia="zh-CN" w:bidi="ar-SA"/>
        </w:rPr>
      </w:pPr>
      <w:r>
        <w:rPr>
          <w:rFonts w:hint="default" w:ascii="Times New Roman" w:hAnsi="Times New Roman" w:eastAsia="仿宋_GB2312" w:cs="Times New Roman"/>
          <w:b/>
          <w:bCs/>
          <w:color w:val="auto"/>
          <w:kern w:val="2"/>
          <w:sz w:val="30"/>
          <w:szCs w:val="30"/>
          <w:lang w:val="en-US" w:eastAsia="zh-CN" w:bidi="ar-SA"/>
        </w:rPr>
        <w:t>注：混合指接闪带和金属屋面、金属构件等共同存在的形式。</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（2）敷设和位置</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敷设：</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“明敷”或“暗敷”。</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位置：</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“屋面沿女儿墙”或“外墙外表面”或“屋檐边垂直面”或“屋面”等。</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数量：全数。</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来源：观察检查，必要时使用钢筋检测仪等设备检查暗敷接闪器的情况；当无法观察检查时，应查阅资料。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3</w:t>
      </w: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材料和规格</w:t>
      </w:r>
    </w:p>
    <w:p>
      <w:pPr>
        <w:keepNext w:val="0"/>
        <w:keepLines w:val="0"/>
        <w:pageBreakBefore w:val="0"/>
        <w:kinsoku/>
        <w:wordWrap/>
        <w:overflowPunct/>
        <w:topLinePunct w:val="0"/>
        <w:bidi w:val="0"/>
        <w:adjustRightInd/>
        <w:snapToGrid/>
        <w:spacing w:line="560" w:lineRule="exact"/>
        <w:ind w:left="1598" w:leftChars="304" w:hanging="960" w:hangingChars="3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材料：</w:t>
      </w:r>
      <w:r>
        <w:rPr>
          <w:rFonts w:hint="eastAsia" w:ascii="Times New Roman" w:hAnsi="Times New Roman" w:eastAsia="仿宋_GB2312" w:cs="Times New Roman"/>
          <w:color w:val="auto"/>
          <w:sz w:val="32"/>
          <w:szCs w:val="32"/>
          <w:lang w:val="en-US" w:eastAsia="zh-CN"/>
        </w:rPr>
        <w:t>填</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Fe</w:t>
      </w:r>
      <w:r>
        <w:rPr>
          <w:rFonts w:hint="eastAsia" w:eastAsia="仿宋_GB2312" w:cs="Times New Roman"/>
          <w:color w:val="auto"/>
          <w:sz w:val="32"/>
          <w:szCs w:val="32"/>
          <w:lang w:val="en-US" w:eastAsia="zh-CN"/>
        </w:rPr>
        <w:t>”或“</w:t>
      </w:r>
      <w:r>
        <w:rPr>
          <w:rFonts w:hint="default" w:ascii="Times New Roman" w:hAnsi="Times New Roman" w:eastAsia="仿宋_GB2312" w:cs="Times New Roman"/>
          <w:color w:val="auto"/>
          <w:sz w:val="32"/>
          <w:szCs w:val="32"/>
          <w:lang w:val="en-US" w:eastAsia="zh-CN"/>
        </w:rPr>
        <w:t>Cu</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；金属构件</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自身。</w:t>
      </w:r>
    </w:p>
    <w:p>
      <w:pPr>
        <w:keepNext w:val="0"/>
        <w:keepLines w:val="0"/>
        <w:pageBreakBefore w:val="0"/>
        <w:kinsoku/>
        <w:wordWrap/>
        <w:overflowPunct/>
        <w:topLinePunct w:val="0"/>
        <w:bidi w:val="0"/>
        <w:adjustRightInd/>
        <w:snapToGrid/>
        <w:spacing w:line="560" w:lineRule="exact"/>
        <w:ind w:left="1598" w:leftChars="304" w:hanging="960" w:hangingChars="3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规格：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修约值，单位为mm。</w:t>
      </w:r>
    </w:p>
    <w:p>
      <w:pPr>
        <w:keepNext w:val="0"/>
        <w:keepLines w:val="0"/>
        <w:pageBreakBefore w:val="0"/>
        <w:kinsoku/>
        <w:wordWrap/>
        <w:overflowPunct/>
        <w:topLinePunct w:val="0"/>
        <w:bidi w:val="0"/>
        <w:adjustRightInd/>
        <w:snapToGrid/>
        <w:spacing w:line="560" w:lineRule="exact"/>
        <w:ind w:left="1598" w:leftChars="304" w:hanging="960" w:hangingChars="3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数量：全数。</w:t>
      </w:r>
    </w:p>
    <w:p>
      <w:pPr>
        <w:keepNext w:val="0"/>
        <w:keepLines w:val="0"/>
        <w:pageBreakBefore w:val="0"/>
        <w:kinsoku/>
        <w:wordWrap/>
        <w:overflowPunct/>
        <w:topLinePunct w:val="0"/>
        <w:bidi w:val="0"/>
        <w:adjustRightInd/>
        <w:snapToGrid/>
        <w:spacing w:line="560" w:lineRule="exact"/>
        <w:ind w:left="1598" w:leftChars="304" w:hanging="960" w:hangingChars="3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来源：观察检查，必要时使用游标卡尺、千分尺或测厚仪等测量；当无法观察检查时，应查阅资料。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4</w:t>
      </w: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安装工艺和现状</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eastAsia"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z w:val="32"/>
          <w:szCs w:val="32"/>
          <w:lang w:val="en-US" w:eastAsia="zh-CN"/>
        </w:rPr>
        <w:t>工艺：</w:t>
      </w:r>
      <w:r>
        <w:rPr>
          <w:rFonts w:hint="eastAsia" w:ascii="Times New Roman" w:hAnsi="Times New Roman" w:eastAsia="仿宋_GB2312" w:cs="Times New Roman"/>
          <w:color w:val="auto"/>
          <w:spacing w:val="-11"/>
          <w:sz w:val="32"/>
          <w:szCs w:val="32"/>
          <w:lang w:val="en-US" w:eastAsia="zh-CN"/>
        </w:rPr>
        <w:t>填</w:t>
      </w:r>
      <w:r>
        <w:rPr>
          <w:rFonts w:hint="default" w:ascii="Times New Roman" w:hAnsi="Times New Roman" w:eastAsia="仿宋_GB2312" w:cs="Times New Roman"/>
          <w:color w:val="auto"/>
          <w:spacing w:val="-11"/>
          <w:sz w:val="32"/>
          <w:szCs w:val="32"/>
          <w:lang w:val="en-US" w:eastAsia="zh-CN"/>
        </w:rPr>
        <w:t>“焊接”或“卡接器连接”</w:t>
      </w:r>
      <w:r>
        <w:rPr>
          <w:rFonts w:hint="eastAsia" w:eastAsia="仿宋_GB2312" w:cs="Times New Roman"/>
          <w:color w:val="auto"/>
          <w:spacing w:val="-11"/>
          <w:sz w:val="32"/>
          <w:szCs w:val="32"/>
          <w:lang w:val="en-US" w:eastAsia="zh-CN"/>
        </w:rPr>
        <w:t>或“</w:t>
      </w:r>
      <w:r>
        <w:rPr>
          <w:rFonts w:hint="eastAsia" w:ascii="Times New Roman" w:hAnsi="Times New Roman" w:eastAsia="仿宋_GB2312" w:cs="Times New Roman"/>
          <w:color w:val="auto"/>
          <w:spacing w:val="-11"/>
          <w:sz w:val="32"/>
          <w:szCs w:val="32"/>
          <w:lang w:val="en-US" w:eastAsia="zh-CN"/>
        </w:rPr>
        <w:t>铜锌合金焊”或“熔焊”或“卷边压接”或“缝接”或“螺钉”或“螺栓连接”；可燃材料构成的屋顶上安装时，填“工艺/隔离”；</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现状：①专用接闪杆：</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是否位置正确、焊缝饱满、防腐完整；②接闪带、网：</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是否位置正确、</w:t>
      </w:r>
      <w:r>
        <w:rPr>
          <w:rFonts w:hint="eastAsia" w:ascii="Times New Roman" w:hAnsi="Times New Roman" w:eastAsia="仿宋_GB2312" w:cs="Times New Roman"/>
          <w:color w:val="auto"/>
          <w:sz w:val="32"/>
          <w:szCs w:val="32"/>
          <w:lang w:val="en-US" w:eastAsia="zh-CN"/>
        </w:rPr>
        <w:t>平整</w:t>
      </w:r>
      <w:r>
        <w:rPr>
          <w:rFonts w:hint="default" w:ascii="Times New Roman" w:hAnsi="Times New Roman" w:eastAsia="仿宋_GB2312" w:cs="Times New Roman"/>
          <w:color w:val="auto"/>
          <w:sz w:val="32"/>
          <w:szCs w:val="32"/>
          <w:lang w:val="en-US" w:eastAsia="zh-CN"/>
        </w:rPr>
        <w:t>顺直、无急弯</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③金属屋面：</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是否持久电气贯通。</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数量：a</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不同类型的接闪器之间：全数；</w:t>
      </w:r>
    </w:p>
    <w:p>
      <w:pPr>
        <w:keepNext w:val="0"/>
        <w:keepLines w:val="0"/>
        <w:pageBreakBefore w:val="0"/>
        <w:kinsoku/>
        <w:wordWrap/>
        <w:overflowPunct/>
        <w:topLinePunct w:val="0"/>
        <w:bidi w:val="0"/>
        <w:adjustRightInd/>
        <w:snapToGrid/>
        <w:spacing w:line="560" w:lineRule="exact"/>
        <w:ind w:left="1596" w:leftChars="760" w:firstLine="0" w:firstLineChars="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相同类型的接闪器之间：不应少于连接处总数的</w:t>
      </w:r>
    </w:p>
    <w:p>
      <w:pPr>
        <w:keepNext w:val="0"/>
        <w:keepLines w:val="0"/>
        <w:pageBreakBefore w:val="0"/>
        <w:kinsoku/>
        <w:wordWrap/>
        <w:overflowPunct/>
        <w:topLinePunct w:val="0"/>
        <w:bidi w:val="0"/>
        <w:adjustRightInd/>
        <w:snapToGrid/>
        <w:spacing w:line="560" w:lineRule="exact"/>
        <w:ind w:left="1596" w:leftChars="760" w:firstLine="320" w:firstLineChars="1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且不少于1处。</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来源：观察检查，必要时使用长度测量设备测量；当无法观察检查时应查阅资料。</w:t>
      </w:r>
    </w:p>
    <w:p>
      <w:pPr>
        <w:keepNext w:val="0"/>
        <w:keepLines w:val="0"/>
        <w:pageBreakBefore w:val="0"/>
        <w:kinsoku/>
        <w:wordWrap/>
        <w:overflowPunct/>
        <w:topLinePunct w:val="0"/>
        <w:bidi w:val="0"/>
        <w:adjustRightInd/>
        <w:snapToGrid/>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（5）锈蚀</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“无锈蚀”或</w:t>
      </w:r>
      <w:r>
        <w:rPr>
          <w:rFonts w:hint="eastAsia" w:eastAsia="仿宋_GB2312" w:cs="Times New Roman"/>
          <w:color w:val="auto"/>
          <w:kern w:val="2"/>
          <w:sz w:val="32"/>
          <w:szCs w:val="32"/>
          <w:lang w:val="en-US" w:eastAsia="zh-CN" w:bidi="ar-SA"/>
        </w:rPr>
        <w:t>当锈蚀</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1/3且圆钢</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Φ8mm</w:t>
      </w:r>
      <w:r>
        <w:rPr>
          <w:rFonts w:hint="eastAsia" w:eastAsia="仿宋_GB2312" w:cs="Times New Roman"/>
          <w:color w:val="auto"/>
          <w:sz w:val="32"/>
          <w:szCs w:val="32"/>
          <w:lang w:val="en-US" w:eastAsia="zh-CN"/>
        </w:rPr>
        <w:t>时填</w:t>
      </w:r>
      <w:r>
        <w:rPr>
          <w:rFonts w:hint="default" w:ascii="Times New Roman" w:hAnsi="Times New Roman" w:eastAsia="仿宋_GB2312" w:cs="Times New Roman"/>
          <w:color w:val="auto"/>
          <w:kern w:val="2"/>
          <w:sz w:val="32"/>
          <w:szCs w:val="32"/>
          <w:lang w:val="en-US" w:eastAsia="zh-CN" w:bidi="ar-SA"/>
        </w:rPr>
        <w:t>“锈蚀”</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或“锈蚀超过1/3”</w:t>
      </w:r>
      <w:r>
        <w:rPr>
          <w:rFonts w:hint="default" w:ascii="Times New Roman" w:hAnsi="Times New Roman" w:eastAsia="仿宋_GB2312" w:cs="Times New Roman"/>
          <w:color w:val="auto"/>
          <w:sz w:val="32"/>
          <w:szCs w:val="32"/>
          <w:lang w:val="en-US" w:eastAsia="zh-CN"/>
        </w:rPr>
        <w:t>。</w:t>
      </w:r>
    </w:p>
    <w:p>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default"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来源：观察检查，必要时使用游标卡尺、千分尺或测厚仪等测量；当无法观察检查时，应查阅资料。</w:t>
      </w:r>
    </w:p>
    <w:p>
      <w:pPr>
        <w:pStyle w:val="5"/>
        <w:keepNext w:val="0"/>
        <w:keepLines w:val="0"/>
        <w:pageBreakBefore w:val="0"/>
        <w:kinsoku/>
        <w:wordWrap/>
        <w:overflowPunct/>
        <w:topLinePunct w:val="0"/>
        <w:bidi w:val="0"/>
        <w:adjustRightInd/>
        <w:snapToGri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（6）固定支架的垂直拉力</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用字母表示方位可表示为：NW，NE，SW，SE</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W，N，E，S。</w:t>
      </w:r>
      <w:r>
        <w:rPr>
          <w:rFonts w:hint="default" w:ascii="Times New Roman" w:hAnsi="Times New Roman" w:eastAsia="仿宋_GB2312" w:cs="Times New Roman"/>
          <w:color w:val="auto"/>
          <w:sz w:val="32"/>
          <w:szCs w:val="32"/>
        </w:rPr>
        <w:t>例如：</w:t>
      </w:r>
      <w:r>
        <w:rPr>
          <w:rFonts w:hint="default" w:ascii="Times New Roman" w:hAnsi="Times New Roman" w:eastAsia="仿宋_GB2312" w:cs="Times New Roman"/>
          <w:color w:val="auto"/>
          <w:sz w:val="32"/>
          <w:szCs w:val="32"/>
          <w:lang w:val="en-US" w:eastAsia="zh-CN"/>
        </w:rPr>
        <w:t>SE/牢固、N/脱落</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施加大于等于49N时支架状态，</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相应方位及其牢固、松动、脱落状态。</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数量：不应少于固定支架总数的10%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且不少于1处。</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来源：使用拉力计等设备对接闪器的固定支架施加不小于49N</w:t>
      </w:r>
      <w:r>
        <w:rPr>
          <w:rFonts w:hint="default" w:ascii="Times New Roman" w:hAnsi="Times New Roman" w:eastAsia="仿宋_GB2312" w:cs="Times New Roman"/>
          <w:color w:val="auto"/>
          <w:sz w:val="32"/>
          <w:szCs w:val="32"/>
          <w:lang w:val="en-US" w:eastAsia="zh-CN"/>
        </w:rPr>
        <w:t>的垂直拉力，观察检查其是否固定可靠</w:t>
      </w:r>
      <w:r>
        <w:rPr>
          <w:rFonts w:hint="default" w:ascii="Times New Roman" w:hAnsi="Times New Roman" w:eastAsia="仿宋_GB2312" w:cs="Times New Roman"/>
          <w:color w:val="auto"/>
          <w:kern w:val="2"/>
          <w:sz w:val="32"/>
          <w:szCs w:val="32"/>
          <w:lang w:val="en-US" w:eastAsia="zh-CN" w:bidi="ar-SA"/>
        </w:rPr>
        <w:t>。</w:t>
      </w:r>
    </w:p>
    <w:p>
      <w:pPr>
        <w:pStyle w:val="5"/>
        <w:keepNext w:val="0"/>
        <w:keepLines w:val="0"/>
        <w:pageBreakBefore w:val="0"/>
        <w:kinsoku/>
        <w:wordWrap/>
        <w:overflowPunct/>
        <w:topLinePunct w:val="0"/>
        <w:bidi w:val="0"/>
        <w:adjustRightInd/>
        <w:snapToGri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方位确定方法：</w:t>
      </w:r>
    </w:p>
    <w:p>
      <w:pPr>
        <w:pStyle w:val="5"/>
        <w:keepNext w:val="0"/>
        <w:keepLines w:val="0"/>
        <w:pageBreakBefore w:val="0"/>
        <w:kinsoku/>
        <w:wordWrap/>
        <w:overflowPunct/>
        <w:topLinePunct w:val="0"/>
        <w:bidi w:val="0"/>
        <w:adjustRightInd/>
        <w:spacing w:line="360" w:lineRule="auto"/>
        <w:jc w:val="center"/>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inline distT="0" distB="0" distL="114300" distR="114300">
            <wp:extent cx="4373245" cy="2299970"/>
            <wp:effectExtent l="0" t="0" r="8255" b="0"/>
            <wp:docPr id="2" name="图片 2" descr="接闪带方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接闪带方位"/>
                    <pic:cNvPicPr>
                      <a:picLocks noChangeAspect="1"/>
                    </pic:cNvPicPr>
                  </pic:nvPicPr>
                  <pic:blipFill>
                    <a:blip r:embed="rId17"/>
                    <a:stretch>
                      <a:fillRect/>
                    </a:stretch>
                  </pic:blipFill>
                  <pic:spPr>
                    <a:xfrm>
                      <a:off x="0" y="0"/>
                      <a:ext cx="4373245" cy="2299970"/>
                    </a:xfrm>
                    <a:prstGeom prst="rect">
                      <a:avLst/>
                    </a:prstGeom>
                  </pic:spPr>
                </pic:pic>
              </a:graphicData>
            </a:graphic>
          </wp:inline>
        </w:drawing>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（7）</w:t>
      </w:r>
      <w:r>
        <w:rPr>
          <w:rFonts w:hint="eastAsia" w:ascii="Times New Roman" w:eastAsia="楷体" w:cs="Times New Roman"/>
          <w:b/>
          <w:bCs/>
          <w:color w:val="auto"/>
          <w:sz w:val="32"/>
          <w:szCs w:val="32"/>
          <w:lang w:val="en-US" w:eastAsia="zh-CN"/>
        </w:rPr>
        <w:t>固定</w:t>
      </w:r>
      <w:r>
        <w:rPr>
          <w:rFonts w:hint="default" w:ascii="Times New Roman" w:hAnsi="Times New Roman" w:eastAsia="楷体" w:cs="Times New Roman"/>
          <w:b/>
          <w:bCs/>
          <w:color w:val="auto"/>
          <w:sz w:val="32"/>
          <w:szCs w:val="32"/>
          <w:lang w:val="en-US" w:eastAsia="zh-CN"/>
        </w:rPr>
        <w:t>支架间距/高度</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实际测量的数值，多于1个数值时从大到小排序依次</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，单位为m。</w:t>
      </w:r>
    </w:p>
    <w:p>
      <w:pPr>
        <w:keepNext w:val="0"/>
        <w:keepLines w:val="0"/>
        <w:pageBreakBefore w:val="0"/>
        <w:kinsoku/>
        <w:wordWrap/>
        <w:overflowPunct/>
        <w:topLinePunct w:val="0"/>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数量：不应少于固定支架总数的10%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且不少于1处。</w:t>
      </w:r>
    </w:p>
    <w:p>
      <w:pPr>
        <w:keepNext w:val="0"/>
        <w:keepLines w:val="0"/>
        <w:pageBreakBefore w:val="0"/>
        <w:kinsoku/>
        <w:wordWrap/>
        <w:overflowPunct/>
        <w:topLinePunct w:val="0"/>
        <w:bidi w:val="0"/>
        <w:adjustRightInd/>
        <w:snapToGri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来源：观察检查，必要时使用长度测量设备测量；当无法观察检查时应查阅资料。</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（8）网格尺寸</w:t>
      </w:r>
    </w:p>
    <w:p>
      <w:pPr>
        <w:keepNext w:val="0"/>
        <w:keepLines w:val="0"/>
        <w:pageBreakBefore w:val="0"/>
        <w:kinsoku/>
        <w:wordWrap/>
        <w:overflowPunct/>
        <w:topLinePunct w:val="0"/>
        <w:bidi w:val="0"/>
        <w:adjustRightInd/>
        <w:spacing w:line="560" w:lineRule="exact"/>
        <w:ind w:firstLine="640"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sz w:val="32"/>
          <w:szCs w:val="32"/>
          <w:lang w:val="en-US" w:eastAsia="zh-CN"/>
        </w:rPr>
        <w:t>实测值，</w:t>
      </w:r>
      <w:r>
        <w:rPr>
          <w:rFonts w:hint="default" w:ascii="Times New Roman" w:hAnsi="Times New Roman" w:eastAsia="仿宋_GB2312" w:cs="Times New Roman"/>
          <w:color w:val="auto"/>
          <w:spacing w:val="-6"/>
          <w:kern w:val="2"/>
          <w:sz w:val="32"/>
          <w:szCs w:val="32"/>
          <w:lang w:val="en-US" w:eastAsia="zh-CN" w:bidi="ar-SA"/>
        </w:rPr>
        <w:t>单位为m。</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598" w:leftChars="304" w:hanging="960"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w:t>
      </w:r>
      <w:r>
        <w:rPr>
          <w:rFonts w:hint="default" w:ascii="Times New Roman" w:hAnsi="Times New Roman" w:eastAsia="仿宋_GB2312" w:cs="Times New Roman"/>
          <w:color w:val="auto"/>
          <w:spacing w:val="-6"/>
          <w:kern w:val="2"/>
          <w:sz w:val="32"/>
          <w:szCs w:val="32"/>
          <w:lang w:val="en-US" w:eastAsia="zh-CN" w:bidi="ar-SA"/>
        </w:rPr>
        <w:t>：观察检查，必要时使用长度测量设备测量；当无法观察检查时应查阅资料。</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（9）伸缩缝的跨接</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跨接</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或“无跨接”，当有跨接时过渡电阻修约值</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入附表b；当伸缩缝处接闪带为“Ω”型整体时，</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Ω型。</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firstLine="640"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w:t>
      </w:r>
      <w:r>
        <w:rPr>
          <w:rFonts w:hint="default" w:ascii="Times New Roman" w:hAnsi="Times New Roman" w:eastAsia="仿宋_GB2312" w:cs="Times New Roman"/>
          <w:color w:val="auto"/>
          <w:spacing w:val="-6"/>
          <w:kern w:val="2"/>
          <w:sz w:val="32"/>
          <w:szCs w:val="32"/>
          <w:lang w:val="en-US" w:eastAsia="zh-CN" w:bidi="ar-SA"/>
        </w:rPr>
        <w:t>：观察检查。</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（10）等电位连接性能</w:t>
      </w:r>
    </w:p>
    <w:p>
      <w:pPr>
        <w:keepNext w:val="0"/>
        <w:keepLines w:val="0"/>
        <w:pageBreakBefore w:val="0"/>
        <w:kinsoku/>
        <w:wordWrap/>
        <w:overflowPunct/>
        <w:topLinePunct w:val="0"/>
        <w:bidi w:val="0"/>
        <w:adjustRightInd/>
        <w:snapToGrid w:val="0"/>
        <w:spacing w:line="560" w:lineRule="exact"/>
        <w:ind w:firstLine="616" w:firstLineChars="200"/>
        <w:jc w:val="both"/>
        <w:textAlignment w:val="auto"/>
        <w:rPr>
          <w:rFonts w:hint="default" w:ascii="Times New Roman" w:hAnsi="Times New Roman" w:eastAsia="楷体" w:cs="Times New Roman"/>
          <w:b/>
          <w:bCs/>
          <w:color w:val="auto"/>
          <w:spacing w:val="-6"/>
          <w:sz w:val="32"/>
          <w:szCs w:val="32"/>
          <w:lang w:val="en-US" w:eastAsia="zh-CN"/>
        </w:rPr>
      </w:pPr>
      <w:r>
        <w:rPr>
          <w:rFonts w:hint="eastAsia" w:eastAsia="仿宋_GB2312" w:cs="Times New Roman"/>
          <w:color w:val="auto"/>
          <w:spacing w:val="-6"/>
          <w:sz w:val="32"/>
          <w:szCs w:val="32"/>
          <w:lang w:val="en-US" w:eastAsia="zh-CN"/>
        </w:rPr>
        <w:t>填</w:t>
      </w:r>
      <w:r>
        <w:rPr>
          <w:rFonts w:hint="default" w:ascii="Times New Roman" w:hAnsi="Times New Roman" w:eastAsia="仿宋_GB2312" w:cs="Times New Roman"/>
          <w:color w:val="auto"/>
          <w:spacing w:val="-6"/>
          <w:sz w:val="32"/>
          <w:szCs w:val="32"/>
          <w:lang w:val="en-US" w:eastAsia="zh-CN"/>
        </w:rPr>
        <w:t>外露的金属物处于LPZ0</w:t>
      </w:r>
      <w:r>
        <w:rPr>
          <w:rFonts w:hint="default" w:ascii="Times New Roman" w:hAnsi="Times New Roman" w:eastAsia="仿宋_GB2312" w:cs="Times New Roman"/>
          <w:color w:val="auto"/>
          <w:spacing w:val="-6"/>
          <w:sz w:val="24"/>
          <w:szCs w:val="24"/>
          <w:lang w:val="en-US" w:eastAsia="zh-CN"/>
        </w:rPr>
        <w:t>A</w:t>
      </w:r>
      <w:r>
        <w:rPr>
          <w:rFonts w:hint="default" w:ascii="Times New Roman" w:hAnsi="Times New Roman" w:eastAsia="仿宋_GB2312" w:cs="Times New Roman"/>
          <w:color w:val="auto"/>
          <w:spacing w:val="-6"/>
          <w:sz w:val="32"/>
          <w:szCs w:val="32"/>
          <w:lang w:val="en-US" w:eastAsia="zh-CN"/>
        </w:rPr>
        <w:t>区与建筑物顶部或外墙上的接闪器进行等电位连接的设备、设施、金属构件等</w:t>
      </w:r>
      <w:r>
        <w:rPr>
          <w:rFonts w:hint="eastAsia" w:eastAsia="仿宋_GB2312" w:cs="Times New Roman"/>
          <w:color w:val="auto"/>
          <w:spacing w:val="-6"/>
          <w:sz w:val="32"/>
          <w:szCs w:val="32"/>
          <w:lang w:val="en-US" w:eastAsia="zh-CN"/>
        </w:rPr>
        <w:t>的名称</w:t>
      </w:r>
      <w:r>
        <w:rPr>
          <w:rFonts w:hint="default" w:ascii="Times New Roman" w:hAnsi="Times New Roman" w:eastAsia="仿宋_GB2312" w:cs="Times New Roman"/>
          <w:color w:val="auto"/>
          <w:spacing w:val="-6"/>
          <w:sz w:val="32"/>
          <w:szCs w:val="32"/>
          <w:lang w:val="en-US" w:eastAsia="zh-CN"/>
        </w:rPr>
        <w:t>。等电位连接性测试值为过渡电阻值，测试过渡电阻值须有ERP接地基准点，接地基准点接地电阻数据</w:t>
      </w:r>
      <w:r>
        <w:rPr>
          <w:rFonts w:hint="eastAsia" w:eastAsia="仿宋_GB2312" w:cs="Times New Roman"/>
          <w:color w:val="auto"/>
          <w:spacing w:val="-6"/>
          <w:sz w:val="32"/>
          <w:szCs w:val="32"/>
          <w:lang w:val="en-US" w:eastAsia="zh-CN"/>
        </w:rPr>
        <w:t>填写</w:t>
      </w:r>
      <w:r>
        <w:rPr>
          <w:rFonts w:hint="default" w:ascii="Times New Roman" w:hAnsi="Times New Roman" w:eastAsia="仿宋_GB2312" w:cs="Times New Roman"/>
          <w:color w:val="auto"/>
          <w:spacing w:val="-6"/>
          <w:sz w:val="32"/>
          <w:szCs w:val="32"/>
          <w:lang w:val="en-US" w:eastAsia="zh-CN"/>
        </w:rPr>
        <w:t>入附表a。过渡电阻修约值</w:t>
      </w:r>
      <w:r>
        <w:rPr>
          <w:rFonts w:hint="eastAsia" w:eastAsia="仿宋_GB2312" w:cs="Times New Roman"/>
          <w:color w:val="auto"/>
          <w:spacing w:val="-6"/>
          <w:sz w:val="32"/>
          <w:szCs w:val="32"/>
          <w:lang w:val="en-US" w:eastAsia="zh-CN"/>
        </w:rPr>
        <w:t>填写</w:t>
      </w:r>
      <w:r>
        <w:rPr>
          <w:rFonts w:hint="default" w:ascii="Times New Roman" w:hAnsi="Times New Roman" w:eastAsia="仿宋_GB2312" w:cs="Times New Roman"/>
          <w:color w:val="auto"/>
          <w:spacing w:val="-6"/>
          <w:sz w:val="32"/>
          <w:szCs w:val="32"/>
          <w:lang w:val="en-US" w:eastAsia="zh-CN"/>
        </w:rPr>
        <w:t>入附表b。</w:t>
      </w:r>
    </w:p>
    <w:p>
      <w:pPr>
        <w:keepNext w:val="0"/>
        <w:keepLines w:val="0"/>
        <w:pageBreakBefore w:val="0"/>
        <w:kinsoku/>
        <w:wordWrap/>
        <w:overflowPunct/>
        <w:topLinePunct w:val="0"/>
        <w:bidi w:val="0"/>
        <w:adjustRightIn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来源：观察检查，并测量过渡电阻，测量方法应按照GB/T 21431</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2023附录D进行。</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（11）附着</w:t>
      </w:r>
    </w:p>
    <w:p>
      <w:pPr>
        <w:keepNext w:val="0"/>
        <w:keepLines w:val="0"/>
        <w:pageBreakBefore w:val="0"/>
        <w:kinsoku/>
        <w:wordWrap/>
        <w:overflowPunct/>
        <w:topLinePunct w:val="0"/>
        <w:bidi w:val="0"/>
        <w:adjustRightInd/>
        <w:spacing w:line="560" w:lineRule="exact"/>
        <w:ind w:firstLine="596" w:firstLineChars="200"/>
        <w:jc w:val="left"/>
        <w:textAlignment w:val="auto"/>
        <w:rPr>
          <w:rFonts w:hint="default" w:ascii="Times New Roman" w:hAnsi="Times New Roman" w:eastAsia="仿宋_GB2312" w:cs="Times New Roman"/>
          <w:color w:val="auto"/>
          <w:spacing w:val="-11"/>
          <w:sz w:val="32"/>
          <w:szCs w:val="32"/>
          <w:lang w:val="en-US" w:eastAsia="zh-CN"/>
        </w:rPr>
      </w:pPr>
      <w:r>
        <w:rPr>
          <w:rFonts w:hint="eastAsia"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w:t>
      </w:r>
      <w:r>
        <w:rPr>
          <w:rFonts w:hint="default" w:ascii="Times New Roman" w:hAnsi="Times New Roman" w:eastAsia="仿宋_GB2312" w:cs="Times New Roman"/>
          <w:color w:val="auto"/>
          <w:spacing w:val="-11"/>
          <w:sz w:val="32"/>
          <w:szCs w:val="32"/>
          <w:lang w:val="en-US" w:eastAsia="zh-CN"/>
        </w:rPr>
        <w:t>有</w:t>
      </w:r>
      <w:r>
        <w:rPr>
          <w:rFonts w:hint="default" w:ascii="Times New Roman" w:hAnsi="Times New Roman" w:eastAsia="仿宋_GB2312" w:cs="Times New Roman"/>
          <w:color w:val="auto"/>
          <w:spacing w:val="-11"/>
          <w:kern w:val="2"/>
          <w:sz w:val="32"/>
          <w:szCs w:val="32"/>
          <w:lang w:val="en-US" w:eastAsia="zh-CN" w:bidi="ar-SA"/>
        </w:rPr>
        <w:t>”</w:t>
      </w:r>
      <w:r>
        <w:rPr>
          <w:rFonts w:hint="default" w:ascii="Times New Roman" w:hAnsi="Times New Roman" w:eastAsia="仿宋_GB2312" w:cs="Times New Roman"/>
          <w:color w:val="auto"/>
          <w:spacing w:val="-11"/>
          <w:sz w:val="32"/>
          <w:szCs w:val="32"/>
          <w:lang w:val="en-US" w:eastAsia="zh-CN"/>
        </w:rPr>
        <w:t>或“无”。当</w:t>
      </w: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“有”时，要</w:t>
      </w: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具体的附着物名称。</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来源</w:t>
      </w:r>
      <w:r>
        <w:rPr>
          <w:rFonts w:hint="default" w:ascii="Times New Roman" w:hAnsi="Times New Roman" w:eastAsia="仿宋_GB2312" w:cs="Times New Roman"/>
          <w:color w:val="auto"/>
          <w:spacing w:val="-6"/>
          <w:kern w:val="2"/>
          <w:sz w:val="32"/>
          <w:szCs w:val="32"/>
          <w:lang w:val="en-US" w:eastAsia="zh-CN" w:bidi="ar-SA"/>
        </w:rPr>
        <w:t>：观察检查。</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（12）间隔距离</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default" w:eastAsia="仿宋_GB2312" w:cs="Times New Roman"/>
          <w:color w:val="auto"/>
          <w:spacing w:val="-6"/>
          <w:kern w:val="2"/>
          <w:sz w:val="32"/>
          <w:szCs w:val="32"/>
          <w:lang w:val="en-US" w:eastAsia="zh-CN" w:bidi="ar-SA"/>
        </w:rPr>
      </w:pPr>
      <w:r>
        <w:rPr>
          <w:rFonts w:hint="default" w:eastAsia="仿宋_GB2312" w:cs="Times New Roman"/>
          <w:color w:val="auto"/>
          <w:kern w:val="2"/>
          <w:sz w:val="32"/>
          <w:szCs w:val="32"/>
          <w:lang w:val="en-US" w:eastAsia="zh-CN" w:bidi="ar-SA"/>
        </w:rPr>
        <w:t>①接闪器与被保护建筑物；②接闪器与放散管；③接闪器与树木；④第一类防雷建筑物：接闪器与被保护建筑物及与其有联系的放散管（阻火器）、通气管（呼吸阀）、排风管（风帽）等；⑤第一类防雷建筑物接闪器与其保护范围之外树木之间的距</w:t>
      </w:r>
      <w:r>
        <w:rPr>
          <w:rFonts w:hint="default" w:eastAsia="仿宋_GB2312" w:cs="Times New Roman"/>
          <w:color w:val="auto"/>
          <w:spacing w:val="-6"/>
          <w:kern w:val="2"/>
          <w:sz w:val="32"/>
          <w:szCs w:val="32"/>
          <w:lang w:val="en-US" w:eastAsia="zh-CN" w:bidi="ar-SA"/>
        </w:rPr>
        <w:t>离。</w:t>
      </w:r>
      <w:r>
        <w:rPr>
          <w:rFonts w:hint="eastAsia" w:eastAsia="仿宋_GB2312" w:cs="Times New Roman"/>
          <w:color w:val="auto"/>
          <w:spacing w:val="-6"/>
          <w:kern w:val="2"/>
          <w:sz w:val="32"/>
          <w:szCs w:val="32"/>
          <w:lang w:val="en-US" w:eastAsia="zh-CN" w:bidi="ar-SA"/>
        </w:rPr>
        <w:t>填写</w:t>
      </w:r>
      <w:r>
        <w:rPr>
          <w:rFonts w:hint="default" w:eastAsia="仿宋_GB2312" w:cs="Times New Roman"/>
          <w:color w:val="auto"/>
          <w:spacing w:val="-6"/>
          <w:kern w:val="2"/>
          <w:sz w:val="32"/>
          <w:szCs w:val="32"/>
          <w:lang w:val="en-US" w:eastAsia="zh-CN" w:bidi="ar-SA"/>
        </w:rPr>
        <w:t>：与之有关的建筑、设备名称和实测值距离，单位为m。</w:t>
      </w:r>
    </w:p>
    <w:p>
      <w:pPr>
        <w:keepNext w:val="0"/>
        <w:keepLines w:val="0"/>
        <w:pageBreakBefore w:val="0"/>
        <w:kinsoku/>
        <w:wordWrap/>
        <w:overflowPunct/>
        <w:topLinePunct w:val="0"/>
        <w:bidi w:val="0"/>
        <w:adjustRightInd/>
        <w:spacing w:line="560" w:lineRule="exact"/>
        <w:ind w:firstLine="640" w:firstLineChars="200"/>
        <w:jc w:val="left"/>
        <w:textAlignment w:val="auto"/>
        <w:rPr>
          <w:rFonts w:hint="default"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eastAsia="仿宋_GB2312" w:cs="Times New Roman"/>
          <w:color w:val="auto"/>
          <w:kern w:val="2"/>
          <w:sz w:val="32"/>
          <w:szCs w:val="32"/>
          <w:lang w:val="en-US" w:eastAsia="zh-CN" w:bidi="ar-SA"/>
        </w:rPr>
        <w:t>来源：观察检查，必要时使用长度测量设备测量；当无法观察检</w:t>
      </w:r>
      <w:r>
        <w:rPr>
          <w:rFonts w:hint="default" w:ascii="Times New Roman" w:hAnsi="Times New Roman" w:eastAsia="仿宋_GB2312" w:cs="Times New Roman"/>
          <w:color w:val="auto"/>
          <w:spacing w:val="-6"/>
          <w:kern w:val="2"/>
          <w:sz w:val="32"/>
          <w:szCs w:val="32"/>
          <w:lang w:val="en-US" w:eastAsia="zh-CN" w:bidi="ar-SA"/>
        </w:rPr>
        <w:t>查时，应查阅资料。</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（13）防侧击措施</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default"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起始高度</w:t>
      </w:r>
      <w:r>
        <w:rPr>
          <w:rFonts w:hint="eastAsia" w:eastAsia="仿宋_GB2312" w:cs="Times New Roman"/>
          <w:color w:val="auto"/>
          <w:kern w:val="2"/>
          <w:sz w:val="32"/>
          <w:szCs w:val="32"/>
          <w:lang w:val="en-US" w:eastAsia="zh-CN" w:bidi="ar-SA"/>
        </w:rPr>
        <w:t>填写</w:t>
      </w:r>
      <w:r>
        <w:rPr>
          <w:rFonts w:hint="default" w:eastAsia="仿宋_GB2312" w:cs="Times New Roman"/>
          <w:color w:val="auto"/>
          <w:kern w:val="2"/>
          <w:sz w:val="32"/>
          <w:szCs w:val="32"/>
          <w:lang w:val="en-US" w:eastAsia="zh-CN" w:bidi="ar-SA"/>
        </w:rPr>
        <w:t>“30m”或“45m”或“60m”；措施</w:t>
      </w:r>
      <w:r>
        <w:rPr>
          <w:rFonts w:hint="eastAsia" w:eastAsia="仿宋_GB2312" w:cs="Times New Roman"/>
          <w:color w:val="auto"/>
          <w:kern w:val="2"/>
          <w:sz w:val="32"/>
          <w:szCs w:val="32"/>
          <w:lang w:val="en-US" w:eastAsia="zh-CN" w:bidi="ar-SA"/>
        </w:rPr>
        <w:t>填写</w:t>
      </w:r>
      <w:r>
        <w:rPr>
          <w:rFonts w:hint="default" w:eastAsia="仿宋_GB2312" w:cs="Times New Roman"/>
          <w:color w:val="auto"/>
          <w:kern w:val="2"/>
          <w:sz w:val="32"/>
          <w:szCs w:val="32"/>
          <w:lang w:val="en-US" w:eastAsia="zh-CN" w:bidi="ar-SA"/>
        </w:rPr>
        <w:t>水平接闪器与引下线连接处；金属物与防雷装置连接处。</w:t>
      </w:r>
      <w:r>
        <w:rPr>
          <w:rFonts w:hint="eastAsia" w:eastAsia="仿宋_GB2312" w:cs="Times New Roman"/>
          <w:color w:val="auto"/>
          <w:kern w:val="2"/>
          <w:sz w:val="32"/>
          <w:szCs w:val="32"/>
          <w:lang w:val="en-US" w:eastAsia="zh-CN" w:bidi="ar-SA"/>
        </w:rPr>
        <w:t>填写</w:t>
      </w:r>
      <w:r>
        <w:rPr>
          <w:rFonts w:hint="default" w:eastAsia="仿宋_GB2312" w:cs="Times New Roman"/>
          <w:color w:val="auto"/>
          <w:kern w:val="2"/>
          <w:sz w:val="32"/>
          <w:szCs w:val="32"/>
          <w:lang w:val="en-US" w:eastAsia="zh-CN" w:bidi="ar-SA"/>
        </w:rPr>
        <w:t>实测值，单位为Ω，实测值</w:t>
      </w:r>
      <w:r>
        <w:rPr>
          <w:rFonts w:hint="eastAsia" w:eastAsia="仿宋_GB2312" w:cs="Times New Roman"/>
          <w:color w:val="auto"/>
          <w:kern w:val="2"/>
          <w:sz w:val="32"/>
          <w:szCs w:val="32"/>
          <w:lang w:val="en-US" w:eastAsia="zh-CN" w:bidi="ar-SA"/>
        </w:rPr>
        <w:t>填写</w:t>
      </w:r>
      <w:r>
        <w:rPr>
          <w:rFonts w:hint="default" w:eastAsia="仿宋_GB2312" w:cs="Times New Roman"/>
          <w:color w:val="auto"/>
          <w:kern w:val="2"/>
          <w:sz w:val="32"/>
          <w:szCs w:val="32"/>
          <w:lang w:val="en-US" w:eastAsia="zh-CN" w:bidi="ar-SA"/>
        </w:rPr>
        <w:t>入附表b。</w:t>
      </w:r>
    </w:p>
    <w:p>
      <w:pPr>
        <w:keepNext w:val="0"/>
        <w:keepLines w:val="0"/>
        <w:pageBreakBefore w:val="0"/>
        <w:kinsoku/>
        <w:wordWrap/>
        <w:overflowPunct/>
        <w:topLinePunct w:val="0"/>
        <w:bidi w:val="0"/>
        <w:adjustRightInd/>
        <w:spacing w:line="560" w:lineRule="exact"/>
        <w:ind w:left="1598" w:leftChars="304" w:hanging="960" w:hangingChars="300"/>
        <w:jc w:val="both"/>
        <w:textAlignment w:val="auto"/>
        <w:rPr>
          <w:rFonts w:hint="default"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数量：</w:t>
      </w:r>
      <w:r>
        <w:rPr>
          <w:rFonts w:hint="default" w:eastAsia="仿宋_GB2312" w:cs="Times New Roman"/>
          <w:color w:val="auto"/>
          <w:spacing w:val="0"/>
          <w:kern w:val="2"/>
          <w:sz w:val="32"/>
          <w:szCs w:val="32"/>
          <w:lang w:val="en-US" w:eastAsia="zh-CN" w:bidi="ar-SA"/>
        </w:rPr>
        <w:t>各类型金属物不应少于该类型总数的5%</w:t>
      </w:r>
      <w:r>
        <w:rPr>
          <w:rFonts w:hint="eastAsia" w:eastAsia="仿宋_GB2312" w:cs="Times New Roman"/>
          <w:color w:val="auto"/>
          <w:spacing w:val="0"/>
          <w:kern w:val="2"/>
          <w:sz w:val="32"/>
          <w:szCs w:val="32"/>
          <w:lang w:val="en-US" w:eastAsia="zh-CN" w:bidi="ar-SA"/>
        </w:rPr>
        <w:t>，</w:t>
      </w:r>
      <w:r>
        <w:rPr>
          <w:rFonts w:hint="default" w:eastAsia="仿宋_GB2312" w:cs="Times New Roman"/>
          <w:color w:val="auto"/>
          <w:spacing w:val="0"/>
          <w:kern w:val="2"/>
          <w:sz w:val="32"/>
          <w:szCs w:val="32"/>
          <w:lang w:val="en-US" w:eastAsia="zh-CN" w:bidi="ar-SA"/>
        </w:rPr>
        <w:t>且均不少于1处。</w:t>
      </w:r>
    </w:p>
    <w:p>
      <w:pPr>
        <w:keepNext w:val="0"/>
        <w:keepLines w:val="0"/>
        <w:pageBreakBefore w:val="0"/>
        <w:kinsoku/>
        <w:wordWrap/>
        <w:overflowPunct/>
        <w:topLinePunct w:val="0"/>
        <w:bidi w:val="0"/>
        <w:adjustRightInd/>
        <w:spacing w:line="560" w:lineRule="exact"/>
        <w:ind w:left="1598" w:leftChars="304" w:hanging="960" w:hangingChars="300"/>
        <w:jc w:val="both"/>
        <w:textAlignment w:val="auto"/>
        <w:rPr>
          <w:rFonts w:hint="default" w:eastAsia="仿宋_GB2312" w:cs="Times New Roman"/>
          <w:color w:val="auto"/>
          <w:kern w:val="2"/>
          <w:sz w:val="32"/>
          <w:szCs w:val="32"/>
          <w:lang w:val="en-US" w:eastAsia="zh-CN" w:bidi="ar-SA"/>
        </w:rPr>
      </w:pPr>
      <w:r>
        <w:rPr>
          <w:rFonts w:hint="default" w:eastAsia="仿宋_GB2312" w:cs="Times New Roman"/>
          <w:color w:val="auto"/>
          <w:kern w:val="2"/>
          <w:sz w:val="32"/>
          <w:szCs w:val="32"/>
          <w:lang w:val="en-US" w:eastAsia="zh-CN" w:bidi="ar-SA"/>
        </w:rPr>
        <w:t>来源：观察检查，并测量过渡电阻，测量方法应按照GB/T 21431</w:t>
      </w:r>
      <w:r>
        <w:rPr>
          <w:rFonts w:hint="eastAsia" w:eastAsia="仿宋_GB2312" w:cs="Times New Roman"/>
          <w:color w:val="auto"/>
          <w:kern w:val="2"/>
          <w:sz w:val="32"/>
          <w:szCs w:val="32"/>
          <w:lang w:val="en-US" w:eastAsia="zh-CN" w:bidi="ar-SA"/>
        </w:rPr>
        <w:t>—</w:t>
      </w:r>
      <w:r>
        <w:rPr>
          <w:rFonts w:hint="default" w:eastAsia="仿宋_GB2312" w:cs="Times New Roman"/>
          <w:color w:val="auto"/>
          <w:kern w:val="2"/>
          <w:sz w:val="32"/>
          <w:szCs w:val="32"/>
          <w:lang w:val="en-US" w:eastAsia="zh-CN" w:bidi="ar-SA"/>
        </w:rPr>
        <w:t>2023附录D进行。当无法观察检查及测量时，应查阅资料。</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（14）保护范围</w:t>
      </w:r>
    </w:p>
    <w:p>
      <w:pPr>
        <w:keepNext w:val="0"/>
        <w:keepLines w:val="0"/>
        <w:pageBreakBefore w:val="0"/>
        <w:kinsoku/>
        <w:wordWrap/>
        <w:overflowPunct/>
        <w:topLinePunct w:val="0"/>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有效覆盖</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或“未有效覆盖”，原始记录中须应有计算、佐证资料支持。</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left="1435" w:leftChars="263" w:hanging="883" w:hangingChars="287"/>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pacing w:val="-6"/>
          <w:kern w:val="2"/>
          <w:sz w:val="32"/>
          <w:szCs w:val="32"/>
          <w:lang w:val="en-US" w:eastAsia="zh-CN" w:bidi="ar-SA"/>
        </w:rPr>
        <w:t>来源：通过观察检查，必要时查阅资料或使用长度测量设备测</w:t>
      </w:r>
      <w:r>
        <w:rPr>
          <w:rFonts w:hint="default" w:ascii="Times New Roman" w:hAnsi="Times New Roman" w:eastAsia="仿宋_GB2312" w:cs="Times New Roman"/>
          <w:color w:val="auto"/>
          <w:kern w:val="2"/>
          <w:sz w:val="32"/>
          <w:szCs w:val="32"/>
          <w:lang w:val="en-US" w:eastAsia="zh-CN" w:bidi="ar-SA"/>
        </w:rPr>
        <w:t>量接闪器的高度、间距、与被保护物距离等相关数据，根据滚球半径和GB 50057—2010附录D的规定综合分析确定保护范围，年预计雷击次数大于或等于0.05的粮、棉及易燃物大量集中的露天堆场，滚球半径可取100m。</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04" w:name="_Toc36143151"/>
      <w:bookmarkStart w:id="105" w:name="_Toc5264"/>
      <w:bookmarkStart w:id="106" w:name="_Toc2586"/>
      <w:r>
        <w:rPr>
          <w:rFonts w:hint="eastAsia" w:ascii="黑体" w:hAnsi="黑体" w:eastAsia="黑体" w:cs="黑体"/>
          <w:b w:val="0"/>
          <w:bCs w:val="0"/>
          <w:color w:val="auto"/>
          <w:lang w:val="en-US" w:eastAsia="zh-CN"/>
        </w:rPr>
        <w:t>8.11</w:t>
      </w:r>
      <w:bookmarkEnd w:id="104"/>
      <w:r>
        <w:rPr>
          <w:rFonts w:hint="eastAsia" w:ascii="黑体" w:hAnsi="黑体" w:eastAsia="黑体" w:cs="黑体"/>
          <w:b w:val="0"/>
          <w:bCs w:val="0"/>
          <w:color w:val="auto"/>
          <w:lang w:val="en-US" w:eastAsia="zh-CN"/>
        </w:rPr>
        <w:t xml:space="preserve"> 引下装置</w:t>
      </w:r>
      <w:bookmarkEnd w:id="105"/>
      <w:bookmarkEnd w:id="106"/>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（1）类型</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“专设”或“自然”</w:t>
      </w:r>
      <w:r>
        <w:rPr>
          <w:rFonts w:hint="eastAsia" w:ascii="Times New Roman" w:hAnsi="Times New Roman" w:eastAsia="仿宋_GB2312" w:cs="Times New Roman"/>
          <w:color w:val="auto"/>
          <w:spacing w:val="-6"/>
          <w:kern w:val="2"/>
          <w:sz w:val="32"/>
          <w:szCs w:val="32"/>
          <w:lang w:val="en-US" w:eastAsia="zh-CN" w:bidi="ar-SA"/>
        </w:rPr>
        <w:t>，表述为专用引下线的归为自然引下线</w:t>
      </w:r>
      <w:r>
        <w:rPr>
          <w:rFonts w:hint="default" w:ascii="Times New Roman" w:hAnsi="Times New Roman" w:eastAsia="仿宋_GB2312" w:cs="Times New Roman"/>
          <w:color w:val="auto"/>
          <w:spacing w:val="-6"/>
          <w:kern w:val="2"/>
          <w:sz w:val="32"/>
          <w:szCs w:val="32"/>
          <w:lang w:val="en-US" w:eastAsia="zh-CN" w:bidi="ar-SA"/>
        </w:rPr>
        <w:t>。</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来源：观察检查；当无法观察检查时，应查阅资料。</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（2）敷设</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“明敷”或“暗敷”。</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来源：观察检查，必要时使用钢筋检测仪等设备检查暗敷引下线的情况；当无法观察检查时，应查阅资料。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（3）材料规格</w:t>
      </w:r>
    </w:p>
    <w:p>
      <w:pPr>
        <w:keepNext w:val="0"/>
        <w:keepLines w:val="0"/>
        <w:pageBreakBefore w:val="0"/>
        <w:kinsoku/>
        <w:wordWrap/>
        <w:overflowPunct/>
        <w:topLinePunct w:val="0"/>
        <w:bidi w:val="0"/>
        <w:adjustRightInd/>
        <w:spacing w:line="560" w:lineRule="exact"/>
        <w:ind w:firstLine="572"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17"/>
          <w:kern w:val="2"/>
          <w:sz w:val="32"/>
          <w:szCs w:val="32"/>
          <w:lang w:val="en-US" w:eastAsia="zh-CN" w:bidi="ar-SA"/>
        </w:rPr>
        <w:t>材料</w:t>
      </w:r>
      <w:r>
        <w:rPr>
          <w:rFonts w:hint="eastAsia" w:ascii="Times New Roman" w:hAnsi="Times New Roman" w:eastAsia="仿宋_GB2312" w:cs="Times New Roman"/>
          <w:color w:val="auto"/>
          <w:spacing w:val="-17"/>
          <w:kern w:val="2"/>
          <w:sz w:val="32"/>
          <w:szCs w:val="32"/>
          <w:lang w:val="en-US" w:eastAsia="zh-CN" w:bidi="ar-SA"/>
        </w:rPr>
        <w:t>填写</w:t>
      </w:r>
      <w:r>
        <w:rPr>
          <w:rFonts w:hint="eastAsia" w:eastAsia="仿宋_GB2312" w:cs="Times New Roman"/>
          <w:color w:val="auto"/>
          <w:spacing w:val="-17"/>
          <w:kern w:val="2"/>
          <w:sz w:val="32"/>
          <w:szCs w:val="32"/>
          <w:lang w:val="en-US" w:eastAsia="zh-CN" w:bidi="ar-SA"/>
        </w:rPr>
        <w:t>“</w:t>
      </w:r>
      <w:r>
        <w:rPr>
          <w:rFonts w:hint="default" w:ascii="Times New Roman" w:hAnsi="Times New Roman" w:eastAsia="仿宋_GB2312" w:cs="Times New Roman"/>
          <w:color w:val="auto"/>
          <w:spacing w:val="-17"/>
          <w:kern w:val="2"/>
          <w:sz w:val="32"/>
          <w:szCs w:val="32"/>
          <w:lang w:val="en-US" w:eastAsia="zh-CN" w:bidi="ar-SA"/>
        </w:rPr>
        <w:t>Fe</w:t>
      </w:r>
      <w:r>
        <w:rPr>
          <w:rFonts w:hint="eastAsia" w:eastAsia="仿宋_GB2312" w:cs="Times New Roman"/>
          <w:color w:val="auto"/>
          <w:spacing w:val="-17"/>
          <w:kern w:val="2"/>
          <w:sz w:val="32"/>
          <w:szCs w:val="32"/>
          <w:lang w:val="en-US" w:eastAsia="zh-CN" w:bidi="ar-SA"/>
        </w:rPr>
        <w:t>”或“</w:t>
      </w:r>
      <w:r>
        <w:rPr>
          <w:rFonts w:hint="default" w:ascii="Times New Roman" w:hAnsi="Times New Roman" w:eastAsia="仿宋_GB2312" w:cs="Times New Roman"/>
          <w:color w:val="auto"/>
          <w:spacing w:val="-17"/>
          <w:kern w:val="2"/>
          <w:sz w:val="32"/>
          <w:szCs w:val="32"/>
          <w:lang w:val="en-US" w:eastAsia="zh-CN" w:bidi="ar-SA"/>
        </w:rPr>
        <w:t>Cu</w:t>
      </w:r>
      <w:r>
        <w:rPr>
          <w:rFonts w:hint="eastAsia" w:eastAsia="仿宋_GB2312" w:cs="Times New Roman"/>
          <w:color w:val="auto"/>
          <w:spacing w:val="-17"/>
          <w:kern w:val="2"/>
          <w:sz w:val="32"/>
          <w:szCs w:val="32"/>
          <w:lang w:val="en-US" w:eastAsia="zh-CN" w:bidi="ar-SA"/>
        </w:rPr>
        <w:t>”</w:t>
      </w:r>
      <w:r>
        <w:rPr>
          <w:rFonts w:hint="default" w:ascii="Times New Roman" w:hAnsi="Times New Roman" w:eastAsia="仿宋_GB2312" w:cs="Times New Roman"/>
          <w:color w:val="auto"/>
          <w:spacing w:val="-17"/>
          <w:kern w:val="2"/>
          <w:sz w:val="32"/>
          <w:szCs w:val="32"/>
          <w:lang w:val="en-US" w:eastAsia="zh-CN" w:bidi="ar-SA"/>
        </w:rPr>
        <w:t>、金属构件</w:t>
      </w:r>
      <w:r>
        <w:rPr>
          <w:rFonts w:hint="eastAsia" w:ascii="Times New Roman" w:hAnsi="Times New Roman" w:eastAsia="仿宋_GB2312" w:cs="Times New Roman"/>
          <w:color w:val="auto"/>
          <w:spacing w:val="-17"/>
          <w:kern w:val="2"/>
          <w:sz w:val="32"/>
          <w:szCs w:val="32"/>
          <w:lang w:val="en-US" w:eastAsia="zh-CN" w:bidi="ar-SA"/>
        </w:rPr>
        <w:t>填写</w:t>
      </w:r>
      <w:r>
        <w:rPr>
          <w:rFonts w:hint="eastAsia" w:eastAsia="仿宋_GB2312" w:cs="Times New Roman"/>
          <w:color w:val="auto"/>
          <w:spacing w:val="-17"/>
          <w:kern w:val="2"/>
          <w:sz w:val="32"/>
          <w:szCs w:val="32"/>
          <w:lang w:val="en-US" w:eastAsia="zh-CN" w:bidi="ar-SA"/>
        </w:rPr>
        <w:t>“</w:t>
      </w:r>
      <w:r>
        <w:rPr>
          <w:rFonts w:hint="default" w:ascii="Times New Roman" w:hAnsi="Times New Roman" w:eastAsia="仿宋_GB2312" w:cs="Times New Roman"/>
          <w:color w:val="auto"/>
          <w:spacing w:val="-17"/>
          <w:kern w:val="2"/>
          <w:sz w:val="32"/>
          <w:szCs w:val="32"/>
          <w:lang w:val="en-US" w:eastAsia="zh-CN" w:bidi="ar-SA"/>
        </w:rPr>
        <w:t>自身</w:t>
      </w:r>
      <w:r>
        <w:rPr>
          <w:rFonts w:hint="eastAsia" w:eastAsia="仿宋_GB2312" w:cs="Times New Roman"/>
          <w:color w:val="auto"/>
          <w:spacing w:val="-17"/>
          <w:kern w:val="2"/>
          <w:sz w:val="32"/>
          <w:szCs w:val="32"/>
          <w:lang w:val="en-US" w:eastAsia="zh-CN" w:bidi="ar-SA"/>
        </w:rPr>
        <w:t>”</w:t>
      </w:r>
      <w:r>
        <w:rPr>
          <w:rFonts w:hint="default" w:ascii="Times New Roman" w:hAnsi="Times New Roman" w:eastAsia="仿宋_GB2312" w:cs="Times New Roman"/>
          <w:color w:val="auto"/>
          <w:spacing w:val="-17"/>
          <w:kern w:val="2"/>
          <w:sz w:val="32"/>
          <w:szCs w:val="32"/>
          <w:lang w:val="en-US" w:eastAsia="zh-CN" w:bidi="ar-SA"/>
        </w:rPr>
        <w:t>；规格</w:t>
      </w:r>
      <w:r>
        <w:rPr>
          <w:rFonts w:hint="eastAsia" w:ascii="Times New Roman" w:hAnsi="Times New Roman" w:eastAsia="仿宋_GB2312" w:cs="Times New Roman"/>
          <w:color w:val="auto"/>
          <w:spacing w:val="-17"/>
          <w:kern w:val="2"/>
          <w:sz w:val="32"/>
          <w:szCs w:val="32"/>
          <w:lang w:val="en-US" w:eastAsia="zh-CN" w:bidi="ar-SA"/>
        </w:rPr>
        <w:t>填写</w:t>
      </w:r>
      <w:r>
        <w:rPr>
          <w:rFonts w:hint="default" w:ascii="Times New Roman" w:hAnsi="Times New Roman" w:eastAsia="仿宋_GB2312" w:cs="Times New Roman"/>
          <w:color w:val="auto"/>
          <w:spacing w:val="-17"/>
          <w:kern w:val="2"/>
          <w:sz w:val="32"/>
          <w:szCs w:val="32"/>
          <w:lang w:val="en-US" w:eastAsia="zh-CN" w:bidi="ar-SA"/>
        </w:rPr>
        <w:t>实测值（mm）。</w:t>
      </w:r>
    </w:p>
    <w:p>
      <w:pPr>
        <w:keepNext w:val="0"/>
        <w:keepLines w:val="0"/>
        <w:pageBreakBefore w:val="0"/>
        <w:kinsoku/>
        <w:wordWrap/>
        <w:overflowPunct/>
        <w:topLinePunct w:val="0"/>
        <w:bidi w:val="0"/>
        <w:adjustRightIn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254" w:leftChars="304" w:hanging="616" w:hanging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w:t>
      </w:r>
      <w:r>
        <w:rPr>
          <w:rFonts w:hint="eastAsia" w:ascii="Times New Roman" w:hAnsi="Times New Roman" w:eastAsia="仿宋_GB2312" w:cs="Times New Roman"/>
          <w:color w:val="auto"/>
          <w:spacing w:val="-6"/>
          <w:kern w:val="2"/>
          <w:sz w:val="32"/>
          <w:szCs w:val="32"/>
          <w:lang w:val="en-US" w:eastAsia="zh-CN" w:bidi="ar-SA"/>
        </w:rPr>
        <w:t>观察</w:t>
      </w:r>
      <w:r>
        <w:rPr>
          <w:rFonts w:hint="default" w:ascii="Times New Roman" w:hAnsi="Times New Roman" w:eastAsia="仿宋_GB2312" w:cs="Times New Roman"/>
          <w:color w:val="auto"/>
          <w:spacing w:val="-6"/>
          <w:kern w:val="2"/>
          <w:sz w:val="32"/>
          <w:szCs w:val="32"/>
          <w:lang w:val="en-US" w:eastAsia="zh-CN" w:bidi="ar-SA"/>
        </w:rPr>
        <w:t>检查，必要时使用游标卡尺、千分尺或测厚仪等测量；当无法观察检查时，应查阅资料。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（4）安装工艺和现状</w:t>
      </w:r>
    </w:p>
    <w:p>
      <w:pPr>
        <w:keepNext w:val="0"/>
        <w:keepLines w:val="0"/>
        <w:pageBreakBefore w:val="0"/>
        <w:kinsoku/>
        <w:wordWrap/>
        <w:overflowPunct/>
        <w:topLinePunct w:val="0"/>
        <w:bidi w:val="0"/>
        <w:adjustRightInd/>
        <w:snapToGrid/>
        <w:spacing w:line="560" w:lineRule="exact"/>
        <w:ind w:left="1562" w:leftChars="304" w:hanging="924" w:hangingChars="300"/>
        <w:jc w:val="left"/>
        <w:textAlignment w:val="auto"/>
        <w:rPr>
          <w:rFonts w:hint="eastAsia" w:ascii="Times New Roman" w:hAnsi="Times New Roman" w:eastAsia="仿宋_GB2312" w:cs="Times New Roman"/>
          <w:color w:val="auto"/>
          <w:spacing w:val="-11"/>
          <w:sz w:val="32"/>
          <w:szCs w:val="32"/>
          <w:shd w:val="clear" w:color="auto" w:fill="auto"/>
          <w:lang w:val="en-US" w:eastAsia="zh-CN"/>
        </w:rPr>
      </w:pPr>
      <w:r>
        <w:rPr>
          <w:rFonts w:hint="default" w:ascii="Times New Roman" w:hAnsi="Times New Roman" w:eastAsia="仿宋_GB2312" w:cs="Times New Roman"/>
          <w:color w:val="auto"/>
          <w:spacing w:val="-6"/>
          <w:kern w:val="2"/>
          <w:sz w:val="32"/>
          <w:szCs w:val="32"/>
          <w:lang w:val="en-US" w:eastAsia="zh-CN" w:bidi="ar-SA"/>
        </w:rPr>
        <w:t>安装工艺</w:t>
      </w:r>
      <w:r>
        <w:rPr>
          <w:rFonts w:hint="eastAsia" w:eastAsia="仿宋_GB2312" w:cs="Times New Roman"/>
          <w:color w:val="auto"/>
          <w:spacing w:val="-6"/>
          <w:kern w:val="2"/>
          <w:sz w:val="32"/>
          <w:szCs w:val="32"/>
          <w:lang w:val="en-US" w:eastAsia="zh-CN" w:bidi="ar-SA"/>
        </w:rPr>
        <w:t>:填写</w:t>
      </w:r>
      <w:r>
        <w:rPr>
          <w:rFonts w:hint="default" w:eastAsia="仿宋_GB2312" w:cs="Times New Roman"/>
          <w:color w:val="auto"/>
          <w:spacing w:val="-6"/>
          <w:kern w:val="2"/>
          <w:sz w:val="32"/>
          <w:szCs w:val="32"/>
          <w:lang w:val="en-US" w:eastAsia="zh-CN" w:bidi="ar-SA"/>
        </w:rPr>
        <w:t>“焊</w:t>
      </w:r>
      <w:r>
        <w:rPr>
          <w:rFonts w:hint="eastAsia" w:eastAsia="仿宋_GB2312" w:cs="Times New Roman"/>
          <w:color w:val="auto"/>
          <w:spacing w:val="-6"/>
          <w:kern w:val="2"/>
          <w:sz w:val="32"/>
          <w:szCs w:val="32"/>
          <w:lang w:val="en-US" w:eastAsia="zh-CN" w:bidi="ar-SA"/>
        </w:rPr>
        <w:t>接</w:t>
      </w:r>
      <w:r>
        <w:rPr>
          <w:rFonts w:hint="default" w:eastAsia="仿宋_GB2312" w:cs="Times New Roman"/>
          <w:color w:val="auto"/>
          <w:spacing w:val="-6"/>
          <w:kern w:val="2"/>
          <w:sz w:val="32"/>
          <w:szCs w:val="32"/>
          <w:lang w:val="en-US" w:eastAsia="zh-CN" w:bidi="ar-SA"/>
        </w:rPr>
        <w:t>”或</w:t>
      </w:r>
      <w:r>
        <w:rPr>
          <w:rFonts w:hint="eastAsia" w:eastAsia="仿宋_GB2312" w:cs="Times New Roman"/>
          <w:color w:val="auto"/>
          <w:spacing w:val="-6"/>
          <w:kern w:val="2"/>
          <w:sz w:val="32"/>
          <w:szCs w:val="32"/>
          <w:lang w:val="en-US" w:eastAsia="zh-CN" w:bidi="ar-SA"/>
        </w:rPr>
        <w:t>“绑扎”或</w:t>
      </w:r>
      <w:r>
        <w:rPr>
          <w:rFonts w:hint="default" w:eastAsia="仿宋_GB2312" w:cs="Times New Roman"/>
          <w:color w:val="auto"/>
          <w:spacing w:val="-6"/>
          <w:kern w:val="2"/>
          <w:sz w:val="32"/>
          <w:szCs w:val="32"/>
          <w:lang w:val="en-US" w:eastAsia="zh-CN" w:bidi="ar-SA"/>
        </w:rPr>
        <w:t>“</w:t>
      </w:r>
      <w:r>
        <w:rPr>
          <w:rFonts w:hint="eastAsia" w:eastAsia="仿宋_GB2312" w:cs="Times New Roman"/>
          <w:color w:val="auto"/>
          <w:spacing w:val="-6"/>
          <w:kern w:val="2"/>
          <w:sz w:val="32"/>
          <w:szCs w:val="32"/>
          <w:lang w:val="en-US" w:eastAsia="zh-CN" w:bidi="ar-SA"/>
        </w:rPr>
        <w:t>螺钉或螺栓</w:t>
      </w:r>
      <w:r>
        <w:rPr>
          <w:rFonts w:hint="default" w:eastAsia="仿宋_GB2312" w:cs="Times New Roman"/>
          <w:color w:val="auto"/>
          <w:spacing w:val="-6"/>
          <w:kern w:val="2"/>
          <w:sz w:val="32"/>
          <w:szCs w:val="32"/>
          <w:lang w:val="en-US" w:eastAsia="zh-CN" w:bidi="ar-SA"/>
        </w:rPr>
        <w:t>”</w:t>
      </w:r>
      <w:r>
        <w:rPr>
          <w:rFonts w:hint="eastAsia" w:eastAsia="仿宋_GB2312" w:cs="Times New Roman"/>
          <w:color w:val="auto"/>
          <w:spacing w:val="-6"/>
          <w:kern w:val="2"/>
          <w:sz w:val="32"/>
          <w:szCs w:val="32"/>
          <w:lang w:val="en-US" w:eastAsia="zh-CN" w:bidi="ar-SA"/>
        </w:rPr>
        <w:t>；或“铜锌合</w:t>
      </w:r>
    </w:p>
    <w:p>
      <w:pPr>
        <w:keepNext w:val="0"/>
        <w:keepLines w:val="0"/>
        <w:pageBreakBefore w:val="0"/>
        <w:kinsoku/>
        <w:wordWrap/>
        <w:overflowPunct/>
        <w:topLinePunct w:val="0"/>
        <w:bidi w:val="0"/>
        <w:adjustRightInd/>
        <w:snapToGrid/>
        <w:spacing w:line="560" w:lineRule="exact"/>
        <w:ind w:left="1596" w:leftChars="760" w:firstLine="572" w:firstLineChars="200"/>
        <w:jc w:val="left"/>
        <w:textAlignment w:val="auto"/>
        <w:rPr>
          <w:rFonts w:hint="eastAsia" w:eastAsia="仿宋_GB2312" w:cs="Times New Roman"/>
          <w:color w:val="auto"/>
          <w:spacing w:val="-17"/>
          <w:kern w:val="2"/>
          <w:sz w:val="32"/>
          <w:szCs w:val="32"/>
          <w:lang w:val="en-US" w:eastAsia="zh-CN" w:bidi="ar-SA"/>
        </w:rPr>
      </w:pPr>
      <w:r>
        <w:rPr>
          <w:rFonts w:hint="eastAsia" w:eastAsia="仿宋_GB2312" w:cs="Times New Roman"/>
          <w:color w:val="auto"/>
          <w:spacing w:val="-17"/>
          <w:kern w:val="2"/>
          <w:sz w:val="32"/>
          <w:szCs w:val="32"/>
          <w:lang w:val="en-US" w:eastAsia="zh-CN" w:bidi="ar-SA"/>
        </w:rPr>
        <w:t>金焊”或“熔焊”或“卷边压接”或“缝接”或“机</w:t>
      </w:r>
    </w:p>
    <w:p>
      <w:pPr>
        <w:keepNext w:val="0"/>
        <w:keepLines w:val="0"/>
        <w:pageBreakBefore w:val="0"/>
        <w:kinsoku/>
        <w:wordWrap/>
        <w:overflowPunct/>
        <w:topLinePunct w:val="0"/>
        <w:bidi w:val="0"/>
        <w:adjustRightInd/>
        <w:snapToGrid/>
        <w:spacing w:line="560" w:lineRule="exact"/>
        <w:ind w:left="1596" w:leftChars="760" w:firstLine="572" w:firstLineChars="200"/>
        <w:jc w:val="left"/>
        <w:textAlignment w:val="auto"/>
        <w:rPr>
          <w:rFonts w:hint="default" w:eastAsia="仿宋_GB2312" w:cs="Times New Roman"/>
          <w:color w:val="auto"/>
          <w:spacing w:val="-6"/>
          <w:kern w:val="2"/>
          <w:sz w:val="32"/>
          <w:szCs w:val="32"/>
          <w:lang w:val="en-US" w:eastAsia="zh-CN" w:bidi="ar-SA"/>
        </w:rPr>
      </w:pPr>
      <w:r>
        <w:rPr>
          <w:rFonts w:hint="eastAsia" w:eastAsia="仿宋_GB2312" w:cs="Times New Roman"/>
          <w:color w:val="auto"/>
          <w:spacing w:val="-17"/>
          <w:kern w:val="2"/>
          <w:sz w:val="32"/>
          <w:szCs w:val="32"/>
          <w:lang w:val="en-US" w:eastAsia="zh-CN" w:bidi="ar-SA"/>
        </w:rPr>
        <w:t>械”。</w:t>
      </w:r>
      <w:r>
        <w:rPr>
          <w:rFonts w:hint="default" w:eastAsia="仿宋_GB2312" w:cs="Times New Roman"/>
          <w:color w:val="auto"/>
          <w:spacing w:val="-6"/>
          <w:kern w:val="2"/>
          <w:sz w:val="32"/>
          <w:szCs w:val="32"/>
          <w:lang w:val="en-US" w:eastAsia="zh-CN" w:bidi="ar-SA"/>
        </w:rPr>
        <w:t>焊接长度：测值（mm）。</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现状：</w:t>
      </w:r>
      <w:r>
        <w:rPr>
          <w:rFonts w:hint="default" w:ascii="Times New Roman" w:hAnsi="Times New Roman" w:eastAsia="仿宋_GB2312" w:cs="Times New Roman"/>
          <w:color w:val="auto"/>
          <w:spacing w:val="0"/>
          <w:kern w:val="2"/>
          <w:sz w:val="32"/>
          <w:szCs w:val="32"/>
          <w:lang w:val="en-US" w:eastAsia="zh-CN" w:bidi="ar-SA"/>
        </w:rPr>
        <w:t>明</w:t>
      </w:r>
      <w:r>
        <w:rPr>
          <w:rFonts w:hint="default" w:ascii="Times New Roman" w:hAnsi="Times New Roman" w:eastAsia="仿宋_GB2312" w:cs="Times New Roman"/>
          <w:color w:val="auto"/>
          <w:spacing w:val="-6"/>
          <w:kern w:val="2"/>
          <w:sz w:val="32"/>
          <w:szCs w:val="32"/>
          <w:lang w:val="en-US" w:eastAsia="zh-CN" w:bidi="ar-SA"/>
        </w:rPr>
        <w:t>敷引下线敷设</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“平正顺直，无急弯；焊缝饱满无遗漏；焊接部分防腐完整”</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暗敷时通过查阅资料获得，若</w:t>
      </w:r>
      <w:r>
        <w:rPr>
          <w:rFonts w:hint="eastAsia" w:ascii="Times New Roman" w:hAnsi="Times New Roman" w:eastAsia="仿宋_GB2312" w:cs="Times New Roman"/>
          <w:color w:val="auto"/>
          <w:spacing w:val="-6"/>
          <w:kern w:val="2"/>
          <w:sz w:val="32"/>
          <w:szCs w:val="32"/>
          <w:lang w:val="en-US" w:eastAsia="zh-CN" w:bidi="ar-SA"/>
        </w:rPr>
        <w:t>无法</w:t>
      </w:r>
      <w:r>
        <w:rPr>
          <w:rFonts w:hint="default" w:ascii="Times New Roman" w:hAnsi="Times New Roman" w:eastAsia="仿宋_GB2312" w:cs="Times New Roman"/>
          <w:color w:val="auto"/>
          <w:spacing w:val="-6"/>
          <w:kern w:val="2"/>
          <w:sz w:val="32"/>
          <w:szCs w:val="32"/>
          <w:lang w:val="en-US" w:eastAsia="zh-CN" w:bidi="ar-SA"/>
        </w:rPr>
        <w:t>查阅资料时应</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为“/”，表示无法获取结果。</w:t>
      </w:r>
    </w:p>
    <w:p>
      <w:pPr>
        <w:keepNext w:val="0"/>
        <w:keepLines w:val="0"/>
        <w:pageBreakBefore w:val="0"/>
        <w:kinsoku/>
        <w:wordWrap/>
        <w:overflowPunct/>
        <w:topLinePunct w:val="0"/>
        <w:bidi w:val="0"/>
        <w:adjustRightIn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数量：不应少于连接点总量5%</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且不应少于1处。</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（5）锈蚀</w:t>
      </w:r>
    </w:p>
    <w:p>
      <w:pPr>
        <w:keepNext w:val="0"/>
        <w:keepLines w:val="0"/>
        <w:pageBreakBefore w:val="0"/>
        <w:kinsoku/>
        <w:wordWrap/>
        <w:overflowPunct/>
        <w:topLinePunct w:val="0"/>
        <w:bidi w:val="0"/>
        <w:adjustRightInd/>
        <w:spacing w:line="560" w:lineRule="exact"/>
        <w:ind w:left="1562" w:leftChars="304" w:hanging="924" w:hangingChars="3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“无锈蚀”或“锈蚀”或“锈蚀超过1/3”。</w:t>
      </w:r>
    </w:p>
    <w:p>
      <w:pPr>
        <w:keepNext w:val="0"/>
        <w:keepLines w:val="0"/>
        <w:pageBreakBefore w:val="0"/>
        <w:kinsoku/>
        <w:wordWrap/>
        <w:overflowPunct/>
        <w:topLinePunct w:val="0"/>
        <w:bidi w:val="0"/>
        <w:adjustRightInd/>
        <w:spacing w:line="560" w:lineRule="exact"/>
        <w:ind w:left="1562" w:leftChars="304" w:hanging="924" w:hangingChars="3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来源：观察检查，必要时使用游标卡尺、千分尺或测厚仪等测量；当无法观察检查时，应查阅资料。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2"/>
          <w:sz w:val="32"/>
          <w:szCs w:val="32"/>
          <w:lang w:val="en-US" w:eastAsia="zh-CN" w:bidi="ar-SA"/>
        </w:rPr>
        <w:t>（6）</w:t>
      </w:r>
      <w:r>
        <w:rPr>
          <w:rFonts w:hint="default" w:ascii="Times New Roman" w:hAnsi="Times New Roman" w:eastAsia="楷体" w:cs="Times New Roman"/>
          <w:b/>
          <w:bCs/>
          <w:color w:val="auto"/>
          <w:sz w:val="32"/>
          <w:szCs w:val="32"/>
          <w:lang w:val="en-US" w:eastAsia="zh-CN"/>
        </w:rPr>
        <w:t>固定支架的垂直拉力</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用字母表示位置可表示为：NW，NE，SW，SE</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W，N，E，S施加大于等于49N时支架状态，</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牢固、松动、脱落。例如：S/牢固、E/脱落。</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数量：不应少于固定支架总数的10%</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且不少于1处。</w:t>
      </w:r>
    </w:p>
    <w:p>
      <w:pPr>
        <w:keepNext w:val="0"/>
        <w:keepLines w:val="0"/>
        <w:pageBreakBefore w:val="0"/>
        <w:kinsoku/>
        <w:wordWrap/>
        <w:overflowPunct/>
        <w:topLinePunct w:val="0"/>
        <w:bidi w:val="0"/>
        <w:adjustRightInd/>
        <w:spacing w:line="560" w:lineRule="exact"/>
        <w:ind w:left="1562" w:leftChars="304" w:hanging="924"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来源：使用拉力计等设备对引下线的固定支架施加不小于49N的垂直拉力，观察检查其是否固定可靠。</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2"/>
          <w:sz w:val="32"/>
          <w:szCs w:val="32"/>
          <w:lang w:val="en-US" w:eastAsia="zh-CN" w:bidi="ar-SA"/>
        </w:rPr>
        <w:t>（7）固定</w:t>
      </w:r>
      <w:r>
        <w:rPr>
          <w:rFonts w:hint="default" w:ascii="Times New Roman" w:hAnsi="Times New Roman" w:eastAsia="楷体" w:cs="Times New Roman"/>
          <w:b/>
          <w:bCs/>
          <w:color w:val="auto"/>
          <w:sz w:val="32"/>
          <w:szCs w:val="32"/>
          <w:lang w:val="en-US" w:eastAsia="zh-CN"/>
        </w:rPr>
        <w:t>支架的间距</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固定支架实测间距，单位为m。</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数量：不应少于固定支架总数的10%</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且不少于1处。</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（8）断接卡设置和保护措施</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断接卡设置高度：</w:t>
      </w:r>
      <w:r>
        <w:rPr>
          <w:rFonts w:hint="eastAsia" w:ascii="Times New Roman" w:hAnsi="Times New Roman" w:eastAsia="仿宋_GB2312" w:cs="Times New Roman"/>
          <w:color w:val="auto"/>
          <w:spacing w:val="-6"/>
          <w:kern w:val="2"/>
          <w:sz w:val="32"/>
          <w:szCs w:val="32"/>
          <w:lang w:val="en-US" w:eastAsia="zh-CN" w:bidi="ar-SA"/>
        </w:rPr>
        <w:t>填写实测值</w:t>
      </w:r>
      <w:r>
        <w:rPr>
          <w:rFonts w:hint="default" w:ascii="Times New Roman" w:hAnsi="Times New Roman" w:eastAsia="仿宋_GB2312" w:cs="Times New Roman"/>
          <w:color w:val="auto"/>
          <w:spacing w:val="-6"/>
          <w:kern w:val="2"/>
          <w:sz w:val="32"/>
          <w:szCs w:val="32"/>
          <w:lang w:val="en-US" w:eastAsia="zh-CN" w:bidi="ar-SA"/>
        </w:rPr>
        <w:t>，单位m。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default" w:ascii="Times New Roman" w:hAnsi="Times New Roman" w:eastAsia="仿宋_GB2312" w:cs="Times New Roman"/>
          <w:color w:val="auto"/>
          <w:spacing w:val="0"/>
          <w:kern w:val="2"/>
          <w:sz w:val="32"/>
          <w:szCs w:val="32"/>
          <w:lang w:val="en-US" w:eastAsia="zh-CN" w:bidi="ar-SA"/>
        </w:rPr>
        <w:t>保护措施</w:t>
      </w:r>
      <w:r>
        <w:rPr>
          <w:rFonts w:hint="eastAsia" w:ascii="Times New Roman" w:hAnsi="Times New Roman" w:eastAsia="仿宋_GB2312" w:cs="Times New Roman"/>
          <w:color w:val="auto"/>
          <w:spacing w:val="0"/>
          <w:kern w:val="2"/>
          <w:sz w:val="32"/>
          <w:szCs w:val="32"/>
          <w:lang w:val="en-US" w:eastAsia="zh-CN" w:bidi="ar-SA"/>
        </w:rPr>
        <w:t>填写</w:t>
      </w:r>
      <w:r>
        <w:rPr>
          <w:rFonts w:hint="default" w:ascii="Times New Roman" w:hAnsi="Times New Roman" w:eastAsia="仿宋_GB2312" w:cs="Times New Roman"/>
          <w:color w:val="auto"/>
          <w:spacing w:val="0"/>
          <w:kern w:val="2"/>
          <w:sz w:val="32"/>
          <w:szCs w:val="32"/>
          <w:lang w:val="en-US" w:eastAsia="zh-CN" w:bidi="ar-SA"/>
        </w:rPr>
        <w:t>“暗敷”或“镀锌角钢”或“改性塑料管”或“橡胶管”等。</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来源：观察检查，必要时使用长度测量设备测量；当无法观察检查时，应查阅资料。</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（9）防接触电压和旁侧闪络电压措施</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“大于10根柱子组成的自然引下线”或“敷设</w:t>
      </w:r>
      <w:r>
        <w:rPr>
          <w:rFonts w:hint="eastAsia" w:eastAsia="仿宋_GB2312" w:cs="Times New Roman"/>
          <w:color w:val="auto"/>
          <w:spacing w:val="-6"/>
          <w:kern w:val="2"/>
          <w:sz w:val="32"/>
          <w:szCs w:val="32"/>
          <w:lang w:val="en-US" w:eastAsia="zh-CN" w:bidi="ar-SA"/>
        </w:rPr>
        <w:t>绝缘保护管</w:t>
      </w:r>
      <w:r>
        <w:rPr>
          <w:rFonts w:hint="default" w:ascii="Times New Roman" w:hAnsi="Times New Roman" w:eastAsia="仿宋_GB2312" w:cs="Times New Roman"/>
          <w:color w:val="auto"/>
          <w:spacing w:val="-6"/>
          <w:kern w:val="2"/>
          <w:sz w:val="32"/>
          <w:szCs w:val="32"/>
          <w:lang w:val="en-US" w:eastAsia="zh-CN" w:bidi="ar-SA"/>
        </w:rPr>
        <w:t>”或“警示牌”或“带警示牌的护栏”或“不带警示牌的护栏”。护栏与引下线水平距离不应小于3m</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5cm 厚沥青层</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15cm 厚砾石层</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在高 2.7m 以下部分应穿能耐受100kV 冲击电压（1.2/50 μs 波形）的绝缘保护管</w:t>
      </w:r>
      <w:r>
        <w:rPr>
          <w:rFonts w:hint="eastAsia" w:eastAsia="仿宋_GB2312" w:cs="Times New Roman"/>
          <w:color w:val="auto"/>
          <w:spacing w:val="-6"/>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（10）</w:t>
      </w:r>
      <w:r>
        <w:rPr>
          <w:rFonts w:hint="default" w:ascii="Times New Roman" w:hAnsi="Times New Roman" w:eastAsia="楷体" w:cs="Times New Roman"/>
          <w:b/>
          <w:bCs/>
          <w:color w:val="auto"/>
          <w:kern w:val="2"/>
          <w:sz w:val="32"/>
          <w:szCs w:val="32"/>
          <w:lang w:val="en-US" w:eastAsia="zh-CN" w:bidi="ar-SA"/>
        </w:rPr>
        <w:t>附着</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“有”或“无”。当</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“有”时，要</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具体的附着物名称。</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（11）</w:t>
      </w:r>
      <w:r>
        <w:rPr>
          <w:rFonts w:hint="default" w:ascii="Times New Roman" w:hAnsi="Times New Roman" w:eastAsia="楷体" w:cs="Times New Roman"/>
          <w:b/>
          <w:bCs/>
          <w:color w:val="auto"/>
          <w:kern w:val="2"/>
          <w:sz w:val="32"/>
          <w:szCs w:val="32"/>
          <w:lang w:val="en-US" w:eastAsia="zh-CN" w:bidi="ar-SA"/>
        </w:rPr>
        <w:t>间隔距离</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引下线与其他设施的最小距离，当检测结果多于1个时应按照从小到大次数依次</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，单位为m。</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（12）电气连接性能</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专设引下线：引下线上端与接闪器之间过渡电阻，</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实测值，单位为Ω；引下线下端与接地装置之间的过渡电阻，</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实测值，单位为Ω。</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自然引下线：接闪器与接地装置之间的整体电阻，</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实测值，单位为Ω。</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测试过渡电阻值须有ERP接地基准点，接地基准点接地电阻数据</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入附表a，或从附表a中选取，不再测试接地电阻。过渡电阻检测数值</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入附表b。</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数量：a</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专设引下线全数。</w:t>
      </w:r>
    </w:p>
    <w:p>
      <w:pPr>
        <w:keepNext w:val="0"/>
        <w:keepLines w:val="0"/>
        <w:pageBreakBefore w:val="0"/>
        <w:widowControl w:val="0"/>
        <w:kinsoku/>
        <w:wordWrap/>
        <w:overflowPunct/>
        <w:topLinePunct w:val="0"/>
        <w:autoSpaceDE/>
        <w:autoSpaceDN/>
        <w:bidi w:val="0"/>
        <w:adjustRightInd/>
        <w:snapToGrid/>
        <w:spacing w:line="560" w:lineRule="exact"/>
        <w:ind w:firstLine="1540" w:firstLineChars="5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b）</w:t>
      </w:r>
      <w:r>
        <w:rPr>
          <w:rFonts w:hint="default" w:ascii="Times New Roman" w:hAnsi="Times New Roman" w:eastAsia="仿宋_GB2312" w:cs="Times New Roman"/>
          <w:color w:val="auto"/>
          <w:spacing w:val="-6"/>
          <w:kern w:val="2"/>
          <w:sz w:val="32"/>
          <w:szCs w:val="32"/>
          <w:lang w:val="en-US" w:eastAsia="zh-CN" w:bidi="ar-SA"/>
        </w:rPr>
        <w:t>自然引下线不应少于1次。</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来源：a</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专设引下线：观察检查，并测量引下线上端与接闪器、引下线下端与接地装置之间的过渡电阻，测量方法应按照GB/T 21431</w:t>
      </w:r>
      <w:r>
        <w:rPr>
          <w:rFonts w:hint="eastAsia" w:ascii="Times New Roman" w:hAnsi="Times New Roman"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2023附录D进行；</w:t>
      </w:r>
    </w:p>
    <w:p>
      <w:pPr>
        <w:keepNext w:val="0"/>
        <w:keepLines w:val="0"/>
        <w:pageBreakBefore w:val="0"/>
        <w:widowControl w:val="0"/>
        <w:kinsoku/>
        <w:wordWrap/>
        <w:overflowPunct/>
        <w:topLinePunct w:val="0"/>
        <w:autoSpaceDE/>
        <w:autoSpaceDN/>
        <w:bidi w:val="0"/>
        <w:adjustRightInd/>
        <w:snapToGrid/>
        <w:spacing w:line="560" w:lineRule="exact"/>
        <w:ind w:left="1596" w:leftChars="760" w:firstLine="0" w:firstLineChars="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b）</w:t>
      </w:r>
      <w:r>
        <w:rPr>
          <w:rFonts w:hint="default" w:ascii="Times New Roman" w:hAnsi="Times New Roman" w:eastAsia="仿宋_GB2312" w:cs="Times New Roman"/>
          <w:color w:val="auto"/>
          <w:spacing w:val="0"/>
          <w:kern w:val="2"/>
          <w:sz w:val="32"/>
          <w:szCs w:val="32"/>
          <w:lang w:val="en-US" w:eastAsia="zh-CN" w:bidi="ar-SA"/>
        </w:rPr>
        <w:t>自然引下线：观察检查，并测量接闪器与接地装置之间的整体电阻，测量方法应按照GB/T 21431</w:t>
      </w:r>
      <w:r>
        <w:rPr>
          <w:rFonts w:hint="eastAsia" w:ascii="Times New Roman" w:hAnsi="Times New Roman" w:eastAsia="仿宋_GB2312" w:cs="Times New Roman"/>
          <w:color w:val="auto"/>
          <w:spacing w:val="0"/>
          <w:kern w:val="2"/>
          <w:sz w:val="32"/>
          <w:szCs w:val="32"/>
          <w:lang w:val="en-US" w:eastAsia="zh-CN" w:bidi="ar-SA"/>
        </w:rPr>
        <w:t>—</w:t>
      </w:r>
      <w:r>
        <w:rPr>
          <w:rFonts w:hint="default" w:ascii="Times New Roman" w:hAnsi="Times New Roman" w:eastAsia="仿宋_GB2312" w:cs="Times New Roman"/>
          <w:color w:val="auto"/>
          <w:spacing w:val="0"/>
          <w:kern w:val="2"/>
          <w:sz w:val="32"/>
          <w:szCs w:val="32"/>
          <w:lang w:val="en-US" w:eastAsia="zh-CN" w:bidi="ar-SA"/>
        </w:rPr>
        <w:t>2023附录D进行。</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（13）数量和间距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eastAsia" w:ascii="Times New Roman" w:hAnsi="Times New Roman" w:eastAsia="仿宋_GB2312" w:cs="Times New Roman"/>
          <w:color w:val="auto"/>
          <w:spacing w:val="0"/>
          <w:kern w:val="2"/>
          <w:sz w:val="32"/>
          <w:szCs w:val="32"/>
          <w:lang w:val="en-US" w:eastAsia="zh-CN" w:bidi="ar-SA"/>
        </w:rPr>
        <w:t>填写</w:t>
      </w:r>
      <w:r>
        <w:rPr>
          <w:rFonts w:hint="default" w:ascii="Times New Roman" w:hAnsi="Times New Roman" w:eastAsia="仿宋_GB2312" w:cs="Times New Roman"/>
          <w:color w:val="auto"/>
          <w:spacing w:val="0"/>
          <w:kern w:val="2"/>
          <w:sz w:val="32"/>
          <w:szCs w:val="32"/>
          <w:lang w:val="en-US" w:eastAsia="zh-CN" w:bidi="ar-SA"/>
        </w:rPr>
        <w:t>数量的实测值，单位为根或处；间距实测值的平均值，单位为m。</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left="1562" w:leftChars="304" w:hanging="924" w:hangingChars="30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w:t>
      </w:r>
      <w:r>
        <w:rPr>
          <w:rFonts w:hint="default" w:ascii="Times New Roman" w:hAnsi="Times New Roman" w:eastAsia="仿宋_GB2312" w:cs="Times New Roman"/>
          <w:color w:val="auto"/>
          <w:spacing w:val="0"/>
          <w:kern w:val="2"/>
          <w:sz w:val="32"/>
          <w:szCs w:val="32"/>
          <w:lang w:val="en-US" w:eastAsia="zh-CN" w:bidi="ar-SA"/>
        </w:rPr>
        <w:t>观察检查，必要时使用环路电阻测试仪、钢筋检测仪等设备检查引下线的数量；观察检查，必要时使用长度测量设备测量引下线的间距。当无法观察检查时，应查阅资料。</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07" w:name="_Toc4073"/>
      <w:bookmarkStart w:id="108" w:name="_Toc965"/>
      <w:r>
        <w:rPr>
          <w:rFonts w:hint="eastAsia" w:ascii="黑体" w:hAnsi="黑体" w:eastAsia="黑体" w:cs="黑体"/>
          <w:b w:val="0"/>
          <w:bCs w:val="0"/>
          <w:color w:val="auto"/>
          <w:lang w:val="en-US" w:eastAsia="zh-CN"/>
        </w:rPr>
        <w:t>8.12 接地装置</w:t>
      </w:r>
      <w:bookmarkEnd w:id="107"/>
      <w:bookmarkEnd w:id="108"/>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1</w:t>
      </w: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类型</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“自然接地装置”或“人工接地装置”，可简写为：“自然”或“人工”。当接地装置</w:t>
      </w:r>
      <w:r>
        <w:rPr>
          <w:rFonts w:hint="eastAsia" w:ascii="Times New Roman" w:hAnsi="Times New Roman" w:eastAsia="仿宋_GB2312" w:cs="Times New Roman"/>
          <w:color w:val="auto"/>
          <w:spacing w:val="-6"/>
          <w:kern w:val="2"/>
          <w:sz w:val="32"/>
          <w:szCs w:val="32"/>
          <w:lang w:val="en-US" w:eastAsia="zh-CN" w:bidi="ar-SA"/>
        </w:rPr>
        <w:t>同时包含</w:t>
      </w:r>
      <w:r>
        <w:rPr>
          <w:rFonts w:hint="default" w:ascii="Times New Roman" w:hAnsi="Times New Roman" w:eastAsia="仿宋_GB2312" w:cs="Times New Roman"/>
          <w:color w:val="auto"/>
          <w:spacing w:val="-6"/>
          <w:kern w:val="2"/>
          <w:sz w:val="32"/>
          <w:szCs w:val="32"/>
          <w:lang w:val="en-US" w:eastAsia="zh-CN" w:bidi="ar-SA"/>
        </w:rPr>
        <w:t>“自然接地装置”</w:t>
      </w:r>
      <w:r>
        <w:rPr>
          <w:rFonts w:hint="eastAsia" w:ascii="Times New Roman" w:hAnsi="Times New Roman" w:eastAsia="仿宋_GB2312" w:cs="Times New Roman"/>
          <w:color w:val="auto"/>
          <w:spacing w:val="-6"/>
          <w:kern w:val="2"/>
          <w:sz w:val="32"/>
          <w:szCs w:val="32"/>
          <w:lang w:val="en-US" w:eastAsia="zh-CN" w:bidi="ar-SA"/>
        </w:rPr>
        <w:t>和</w:t>
      </w:r>
      <w:r>
        <w:rPr>
          <w:rFonts w:hint="default" w:ascii="Times New Roman" w:hAnsi="Times New Roman" w:eastAsia="仿宋_GB2312" w:cs="Times New Roman"/>
          <w:color w:val="auto"/>
          <w:spacing w:val="-6"/>
          <w:kern w:val="2"/>
          <w:sz w:val="32"/>
          <w:szCs w:val="32"/>
          <w:lang w:val="en-US" w:eastAsia="zh-CN" w:bidi="ar-SA"/>
        </w:rPr>
        <w:t>“人工接地装置”时，</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来源：观察检查；当无法观察检查时，应查阅资料。</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（2）布置</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建筑物基础作为接地装置时</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建筑基础。</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接地装置采用专用接地装置时，接地装置</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A型接地装置或B型接地装置。可简写为A型或B型。当接地装置为混合型时，</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sz w:val="32"/>
          <w:szCs w:val="32"/>
          <w:lang w:val="en-US" w:eastAsia="zh-CN"/>
        </w:rPr>
        <w:t>“混合型”</w:t>
      </w:r>
      <w:r>
        <w:rPr>
          <w:rFonts w:hint="default" w:ascii="Times New Roman" w:hAnsi="Times New Roman" w:eastAsia="仿宋_GB2312" w:cs="Times New Roman"/>
          <w:color w:val="auto"/>
          <w:kern w:val="2"/>
          <w:sz w:val="32"/>
          <w:szCs w:val="32"/>
          <w:lang w:val="en-US" w:eastAsia="zh-CN" w:bidi="ar-SA"/>
        </w:rPr>
        <w:t>。</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放射型（A型）接地装置：每根引下线终端的接地形成开放式</w:t>
      </w:r>
      <w:r>
        <w:rPr>
          <w:rFonts w:hint="eastAsia" w:ascii="Times New Roman" w:hAnsi="Times New Roman" w:eastAsia="仿宋_GB2312" w:cs="Times New Roman"/>
          <w:color w:val="auto"/>
          <w:kern w:val="2"/>
          <w:sz w:val="32"/>
          <w:szCs w:val="32"/>
          <w:lang w:val="en-US" w:eastAsia="zh-CN" w:bidi="ar-SA"/>
        </w:rPr>
        <w:t>接地体，也</w:t>
      </w:r>
      <w:r>
        <w:rPr>
          <w:rFonts w:hint="default" w:ascii="Times New Roman" w:hAnsi="Times New Roman" w:eastAsia="仿宋_GB2312" w:cs="Times New Roman"/>
          <w:color w:val="auto"/>
          <w:kern w:val="2"/>
          <w:sz w:val="32"/>
          <w:szCs w:val="32"/>
          <w:lang w:val="en-US" w:eastAsia="zh-CN" w:bidi="ar-SA"/>
        </w:rPr>
        <w:t>称放射型接地体。</w:t>
      </w:r>
    </w:p>
    <w:p>
      <w:pPr>
        <w:keepNext w:val="0"/>
        <w:keepLines w:val="0"/>
        <w:pageBreakBefore w:val="0"/>
        <w:kinsoku/>
        <w:wordWrap/>
        <w:overflowPunct/>
        <w:topLinePunct w:val="0"/>
        <w:bidi w:val="0"/>
        <w:adjustRightInd/>
        <w:snapToGrid w:val="0"/>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环形（B型）接地装置：围绕着建筑物形成封闭环形的接地体。</w:t>
      </w:r>
    </w:p>
    <w:p>
      <w:pPr>
        <w:pStyle w:val="5"/>
        <w:spacing w:line="360" w:lineRule="auto"/>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drawing>
          <wp:inline distT="0" distB="0" distL="114300" distR="114300">
            <wp:extent cx="2882265" cy="1703705"/>
            <wp:effectExtent l="0" t="0" r="0" b="0"/>
            <wp:docPr id="14" name="图片 14" descr="A型接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型接地"/>
                    <pic:cNvPicPr>
                      <a:picLocks noChangeAspect="1"/>
                    </pic:cNvPicPr>
                  </pic:nvPicPr>
                  <pic:blipFill>
                    <a:blip r:embed="rId18"/>
                    <a:stretch>
                      <a:fillRect/>
                    </a:stretch>
                  </pic:blipFill>
                  <pic:spPr>
                    <a:xfrm>
                      <a:off x="0" y="0"/>
                      <a:ext cx="2882265" cy="1703705"/>
                    </a:xfrm>
                    <a:prstGeom prst="rect">
                      <a:avLst/>
                    </a:prstGeom>
                  </pic:spPr>
                </pic:pic>
              </a:graphicData>
            </a:graphic>
          </wp:inline>
        </w:drawing>
      </w:r>
    </w:p>
    <w:p>
      <w:pPr>
        <w:pStyle w:val="5"/>
        <w:spacing w:line="360" w:lineRule="auto"/>
        <w:jc w:val="center"/>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A型接地装置</w:t>
      </w:r>
    </w:p>
    <w:p>
      <w:pPr>
        <w:pStyle w:val="5"/>
        <w:spacing w:line="360" w:lineRule="auto"/>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1——引下线；2——水平接地体；3——垂直接地体</w:t>
      </w:r>
    </w:p>
    <w:p>
      <w:pPr>
        <w:pStyle w:val="5"/>
        <w:spacing w:line="360" w:lineRule="auto"/>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drawing>
          <wp:inline distT="0" distB="0" distL="114300" distR="114300">
            <wp:extent cx="2985135" cy="1954530"/>
            <wp:effectExtent l="0" t="0" r="0" b="0"/>
            <wp:docPr id="11" name="图片 11" descr="B型接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型接地"/>
                    <pic:cNvPicPr>
                      <a:picLocks noChangeAspect="1"/>
                    </pic:cNvPicPr>
                  </pic:nvPicPr>
                  <pic:blipFill>
                    <a:blip r:embed="rId19"/>
                    <a:stretch>
                      <a:fillRect/>
                    </a:stretch>
                  </pic:blipFill>
                  <pic:spPr>
                    <a:xfrm>
                      <a:off x="0" y="0"/>
                      <a:ext cx="2985135" cy="1954530"/>
                    </a:xfrm>
                    <a:prstGeom prst="rect">
                      <a:avLst/>
                    </a:prstGeom>
                  </pic:spPr>
                </pic:pic>
              </a:graphicData>
            </a:graphic>
          </wp:inline>
        </w:drawing>
      </w:r>
    </w:p>
    <w:p>
      <w:pPr>
        <w:pStyle w:val="5"/>
        <w:spacing w:line="360" w:lineRule="auto"/>
        <w:jc w:val="center"/>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B型接地装置</w:t>
      </w:r>
    </w:p>
    <w:p>
      <w:pPr>
        <w:pStyle w:val="5"/>
        <w:spacing w:line="360" w:lineRule="auto"/>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1——引下线；2——水平接地体；3——垂直接地体</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楷体" w:cs="Times New Roman"/>
          <w:b/>
          <w:bCs/>
          <w:color w:val="auto"/>
          <w:sz w:val="32"/>
          <w:szCs w:val="32"/>
          <w:lang w:eastAsia="zh-CN"/>
        </w:rPr>
      </w:pPr>
      <w:r>
        <w:rPr>
          <w:rFonts w:hint="default" w:ascii="Times New Roman" w:hAnsi="Times New Roman" w:eastAsia="仿宋_GB2312" w:cs="Times New Roman"/>
          <w:color w:val="auto"/>
          <w:kern w:val="2"/>
          <w:sz w:val="32"/>
          <w:szCs w:val="32"/>
          <w:lang w:val="en-US" w:eastAsia="zh-CN" w:bidi="ar-SA"/>
        </w:rPr>
        <w:t>来源：观察检查；当无法观察检查时，应查阅资料。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eastAsia="zh-CN"/>
        </w:rPr>
      </w:pP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3</w:t>
      </w:r>
      <w:r>
        <w:rPr>
          <w:rFonts w:hint="default" w:ascii="Times New Roman" w:hAnsi="Times New Roman" w:eastAsia="楷体" w:cs="Times New Roman"/>
          <w:b/>
          <w:bCs/>
          <w:color w:val="auto"/>
          <w:sz w:val="32"/>
          <w:szCs w:val="32"/>
          <w:lang w:eastAsia="zh-CN"/>
        </w:rPr>
        <w:t>）材料</w:t>
      </w:r>
      <w:r>
        <w:rPr>
          <w:rFonts w:hint="default" w:ascii="Times New Roman" w:hAnsi="Times New Roman" w:eastAsia="楷体" w:cs="Times New Roman"/>
          <w:b/>
          <w:bCs/>
          <w:color w:val="auto"/>
          <w:sz w:val="32"/>
          <w:szCs w:val="32"/>
          <w:lang w:val="en-US" w:eastAsia="zh-CN"/>
        </w:rPr>
        <w:t>和</w:t>
      </w:r>
      <w:r>
        <w:rPr>
          <w:rFonts w:hint="default" w:ascii="Times New Roman" w:hAnsi="Times New Roman" w:eastAsia="楷体" w:cs="Times New Roman"/>
          <w:b/>
          <w:bCs/>
          <w:color w:val="auto"/>
          <w:sz w:val="32"/>
          <w:szCs w:val="32"/>
          <w:lang w:eastAsia="zh-CN"/>
        </w:rPr>
        <w:t>规格</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材料</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Fe/Cu；规格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实测值，单位为mm。</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来源：观察检查；必要时使用游标卡尺、千分尺或测厚仪等测量；当无法观察检查时，应查阅资料。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（4）焊接和防腐</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焊接：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“放热焊接”或“通用焊接”，焊接长度：</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实测值，单位为mm。</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防腐：</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“防腐漆”或“沥青”或“混凝土”。</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数量：a</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焊接：不同的焊接方法不应少于该焊接方法总数的50%，且不少于1处。</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pacing w:val="-17"/>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b）</w:t>
      </w:r>
      <w:r>
        <w:rPr>
          <w:rFonts w:hint="default" w:ascii="Times New Roman" w:hAnsi="Times New Roman" w:eastAsia="仿宋_GB2312" w:cs="Times New Roman"/>
          <w:color w:val="auto"/>
          <w:spacing w:val="-17"/>
          <w:kern w:val="2"/>
          <w:sz w:val="32"/>
          <w:szCs w:val="32"/>
          <w:lang w:val="en-US" w:eastAsia="zh-CN" w:bidi="ar-SA"/>
        </w:rPr>
        <w:t>防腐：不应少于明敷接地线总数50%，且不少于1</w:t>
      </w:r>
      <w:r>
        <w:rPr>
          <w:rFonts w:hint="eastAsia" w:eastAsia="仿宋_GB2312" w:cs="Times New Roman"/>
          <w:color w:val="auto"/>
          <w:spacing w:val="-17"/>
          <w:kern w:val="2"/>
          <w:sz w:val="32"/>
          <w:szCs w:val="32"/>
          <w:lang w:val="en-US" w:eastAsia="zh-CN" w:bidi="ar-SA"/>
        </w:rPr>
        <w:t>处</w:t>
      </w:r>
      <w:r>
        <w:rPr>
          <w:rFonts w:hint="default" w:ascii="Times New Roman" w:hAnsi="Times New Roman" w:eastAsia="仿宋_GB2312" w:cs="Times New Roman"/>
          <w:color w:val="auto"/>
          <w:spacing w:val="-17"/>
          <w:kern w:val="2"/>
          <w:sz w:val="32"/>
          <w:szCs w:val="32"/>
          <w:lang w:val="en-US" w:eastAsia="zh-CN" w:bidi="ar-SA"/>
        </w:rPr>
        <w:t>。</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（5）防跨步电压措施</w:t>
      </w:r>
    </w:p>
    <w:p>
      <w:pPr>
        <w:keepNext w:val="0"/>
        <w:keepLines w:val="0"/>
        <w:pageBreakBefore w:val="0"/>
        <w:kinsoku/>
        <w:wordWrap/>
        <w:overflowPunct/>
        <w:topLinePunct w:val="0"/>
        <w:bidi w:val="0"/>
        <w:adjustRightInd/>
        <w:snapToGrid w:val="0"/>
        <w:spacing w:line="56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“大于10根柱子组成的自然引下线”或“敷设保护层”或“均衡电位”或“警示牌”或“带警示牌的护栏”或“不带警示牌的护栏”。</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来源：观察检查，必要时使用长度测量设备测量；当无法观察检查时，应查阅资料。</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（6）</w:t>
      </w:r>
      <w:r>
        <w:rPr>
          <w:rFonts w:hint="eastAsia" w:eastAsia="楷体" w:cs="Times New Roman"/>
          <w:b/>
          <w:bCs/>
          <w:color w:val="auto"/>
          <w:kern w:val="0"/>
          <w:sz w:val="32"/>
          <w:szCs w:val="32"/>
          <w:lang w:val="en-US" w:eastAsia="zh-CN" w:bidi="ar-SA"/>
        </w:rPr>
        <w:t>填</w:t>
      </w:r>
      <w:r>
        <w:rPr>
          <w:rFonts w:hint="default" w:ascii="Times New Roman" w:hAnsi="Times New Roman" w:eastAsia="楷体" w:cs="Times New Roman"/>
          <w:b/>
          <w:bCs/>
          <w:color w:val="auto"/>
          <w:kern w:val="0"/>
          <w:sz w:val="32"/>
          <w:szCs w:val="32"/>
          <w:lang w:val="en-US" w:eastAsia="zh-CN" w:bidi="ar-SA"/>
        </w:rPr>
        <w:t>土</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“无沉陷”或“有沉陷”；人工接地体埋深：</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实测值，单位为m。</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（7）间隔距离</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其他金属构件和线路与接地装置之间距离，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实测值，单位为m。</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第一类≥3m，二、三类用GB50057</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2010</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4.3.7和4.4.8条计算，</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实测值，单位为m。</w:t>
      </w:r>
    </w:p>
    <w:p>
      <w:pPr>
        <w:keepNext w:val="0"/>
        <w:keepLines w:val="0"/>
        <w:pageBreakBefore w:val="0"/>
        <w:kinsoku/>
        <w:wordWrap/>
        <w:overflowPunct/>
        <w:topLinePunct w:val="0"/>
        <w:bidi w:val="0"/>
        <w:adjustRightInd/>
        <w:snapToGrid w:val="0"/>
        <w:spacing w:line="560" w:lineRule="exact"/>
        <w:ind w:firstLine="572" w:firstLineChars="200"/>
        <w:jc w:val="both"/>
        <w:textAlignment w:val="auto"/>
        <w:rPr>
          <w:rFonts w:hint="default" w:ascii="Times New Roman" w:hAnsi="Times New Roman" w:eastAsia="仿宋_GB2312" w:cs="Times New Roman"/>
          <w:color w:val="auto"/>
          <w:spacing w:val="-17"/>
          <w:kern w:val="2"/>
          <w:sz w:val="32"/>
          <w:szCs w:val="32"/>
          <w:lang w:val="en-US" w:eastAsia="zh-CN" w:bidi="ar-SA"/>
        </w:rPr>
      </w:pPr>
      <w:r>
        <w:rPr>
          <w:rFonts w:hint="default" w:ascii="Times New Roman" w:hAnsi="Times New Roman" w:eastAsia="仿宋_GB2312" w:cs="Times New Roman"/>
          <w:color w:val="auto"/>
          <w:spacing w:val="-17"/>
          <w:kern w:val="2"/>
          <w:sz w:val="32"/>
          <w:szCs w:val="32"/>
          <w:lang w:val="en-US" w:eastAsia="zh-CN" w:bidi="ar-SA"/>
        </w:rPr>
        <w:t>人工接地体距离建筑基础不应小于1m，</w:t>
      </w:r>
      <w:r>
        <w:rPr>
          <w:rFonts w:hint="eastAsia" w:ascii="Times New Roman" w:hAnsi="Times New Roman" w:eastAsia="仿宋_GB2312" w:cs="Times New Roman"/>
          <w:color w:val="auto"/>
          <w:spacing w:val="-17"/>
          <w:kern w:val="2"/>
          <w:sz w:val="32"/>
          <w:szCs w:val="32"/>
          <w:lang w:val="en-US" w:eastAsia="zh-CN" w:bidi="ar-SA"/>
        </w:rPr>
        <w:t>填写</w:t>
      </w:r>
      <w:r>
        <w:rPr>
          <w:rFonts w:hint="default" w:ascii="Times New Roman" w:hAnsi="Times New Roman" w:eastAsia="仿宋_GB2312" w:cs="Times New Roman"/>
          <w:color w:val="auto"/>
          <w:spacing w:val="-17"/>
          <w:kern w:val="2"/>
          <w:sz w:val="32"/>
          <w:szCs w:val="32"/>
          <w:lang w:val="en-US" w:eastAsia="zh-CN" w:bidi="ar-SA"/>
        </w:rPr>
        <w:t>实测值，单位为m。</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来源：观察检查，必要时使用长度测量设备测量；当无法观察检查时，应查阅资料。</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（8）共用接地</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“共用”或“独立”；当第一类防雷建筑物防直击雷接地装置时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独立。第二</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第三类均</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共用接地。</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来源：观察检查；当无法观察检查时，应查阅资料。</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（9）电气贯通性能</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电气和电子系统线路连通的互相邻近的建筑物之间的接地装置的过渡电阻值，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实测修约值，单位为Ω。过渡电阻实测修约值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数量：全数。</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来源：观察检查，并测量过渡电阻，测量方法应按照GB/T21431—2023附录D进行。</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（10）接地电阻</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z w:val="32"/>
          <w:szCs w:val="32"/>
        </w:rPr>
        <w:t>各类型防雷建筑物接地装置的接地电阻值。</w:t>
      </w:r>
      <w:r>
        <w:rPr>
          <w:rFonts w:hint="default" w:ascii="Times New Roman" w:hAnsi="Times New Roman" w:eastAsia="仿宋_GB2312" w:cs="Times New Roman"/>
          <w:color w:val="auto"/>
          <w:kern w:val="2"/>
          <w:sz w:val="32"/>
          <w:szCs w:val="32"/>
          <w:lang w:val="en-US" w:eastAsia="zh-CN" w:bidi="ar-SA"/>
        </w:rPr>
        <w:t>独立接地装置：断接卡断开测量接地电阻；环形接地装置：断接卡</w:t>
      </w:r>
      <w:r>
        <w:rPr>
          <w:rFonts w:hint="default" w:ascii="Times New Roman" w:hAnsi="Times New Roman" w:eastAsia="仿宋_GB2312" w:cs="Times New Roman"/>
          <w:color w:val="auto"/>
          <w:spacing w:val="-6"/>
          <w:kern w:val="2"/>
          <w:sz w:val="32"/>
          <w:szCs w:val="32"/>
          <w:lang w:val="en-US" w:eastAsia="zh-CN" w:bidi="ar-SA"/>
        </w:rPr>
        <w:t>不断开测量接地电阻；自然引下线：在测试卡（端子）处测量接地电阻值，</w:t>
      </w:r>
      <w:r>
        <w:rPr>
          <w:rFonts w:hint="eastAsia"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实测修约值，单位为Ω。接地电阻实测修约值</w:t>
      </w:r>
      <w:r>
        <w:rPr>
          <w:rFonts w:hint="eastAsia"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入附表a。</w:t>
      </w:r>
    </w:p>
    <w:p>
      <w:pPr>
        <w:keepNext w:val="0"/>
        <w:keepLines w:val="0"/>
        <w:pageBreakBefore w:val="0"/>
        <w:widowControl w:val="0"/>
        <w:kinsoku/>
        <w:wordWrap/>
        <w:overflowPunct/>
        <w:topLinePunct w:val="0"/>
        <w:autoSpaceDE/>
        <w:autoSpaceDN/>
        <w:bidi w:val="0"/>
        <w:adjustRightInd/>
        <w:snapToGrid w:val="0"/>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数量：全数。</w:t>
      </w:r>
    </w:p>
    <w:p>
      <w:pPr>
        <w:keepNext w:val="0"/>
        <w:keepLines w:val="0"/>
        <w:pageBreakBefore w:val="0"/>
        <w:widowControl w:val="0"/>
        <w:kinsoku/>
        <w:wordWrap/>
        <w:overflowPunct/>
        <w:topLinePunct w:val="0"/>
        <w:autoSpaceDE/>
        <w:autoSpaceDN/>
        <w:bidi w:val="0"/>
        <w:adjustRightInd/>
        <w:snapToGrid w:val="0"/>
        <w:spacing w:line="560" w:lineRule="exact"/>
        <w:ind w:left="1562" w:leftChars="304" w:hanging="924" w:hangingChars="3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来源：测量接地电阻，测量方法应按照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pacing w:val="-6"/>
          <w:kern w:val="2"/>
          <w:sz w:val="32"/>
          <w:szCs w:val="32"/>
          <w:lang w:val="en-US" w:eastAsia="zh-CN" w:bidi="ar-SA"/>
        </w:rPr>
        <w:t>附录E进行测量。当需要计算冲击接地电阻时，应按照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pacing w:val="-6"/>
          <w:kern w:val="2"/>
          <w:sz w:val="32"/>
          <w:szCs w:val="32"/>
          <w:lang w:val="en-US" w:eastAsia="zh-CN" w:bidi="ar-SA"/>
        </w:rPr>
        <w:t>附录F测量土壤电阻率，并根据</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pacing w:val="-6"/>
          <w:kern w:val="2"/>
          <w:sz w:val="32"/>
          <w:szCs w:val="32"/>
          <w:lang w:val="en-US" w:eastAsia="zh-CN" w:bidi="ar-SA"/>
        </w:rPr>
        <w:t>附录G计算。当与引下线连接的接地装置为独立接地体时，应打开断接卡并确保引下线和接地线间绝缘后测量；当与引下线连接的接地装置为环形接地体时，可不断开断接卡；当采用自然引下线时，应在测试卡</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端子</w:t>
      </w:r>
      <w:r>
        <w:rPr>
          <w:rFonts w:hint="eastAsia" w:eastAsia="仿宋_GB2312" w:cs="Times New Roman"/>
          <w:color w:val="auto"/>
          <w:spacing w:val="-6"/>
          <w:kern w:val="2"/>
          <w:sz w:val="32"/>
          <w:szCs w:val="32"/>
          <w:lang w:val="en-US" w:eastAsia="zh-CN" w:bidi="ar-SA"/>
        </w:rPr>
        <w:t>）</w:t>
      </w:r>
      <w:r>
        <w:rPr>
          <w:rFonts w:hint="default" w:ascii="Times New Roman" w:hAnsi="Times New Roman" w:eastAsia="仿宋_GB2312" w:cs="Times New Roman"/>
          <w:color w:val="auto"/>
          <w:spacing w:val="-6"/>
          <w:kern w:val="2"/>
          <w:sz w:val="32"/>
          <w:szCs w:val="32"/>
          <w:lang w:val="en-US" w:eastAsia="zh-CN" w:bidi="ar-SA"/>
        </w:rPr>
        <w:t>处测量接地电阻。</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sz w:val="32"/>
          <w:szCs w:val="32"/>
        </w:rPr>
      </w:pPr>
      <w:r>
        <w:rPr>
          <w:rFonts w:hint="default" w:ascii="Times New Roman" w:hAnsi="Times New Roman" w:eastAsia="楷体" w:cs="Times New Roman"/>
          <w:b/>
          <w:bCs/>
          <w:color w:val="auto"/>
          <w:kern w:val="0"/>
          <w:sz w:val="32"/>
          <w:szCs w:val="32"/>
          <w:lang w:val="en-US" w:eastAsia="zh-CN" w:bidi="ar-SA"/>
        </w:rPr>
        <w:t>（11）</w:t>
      </w:r>
      <w:r>
        <w:rPr>
          <w:rFonts w:hint="default" w:ascii="Times New Roman" w:hAnsi="Times New Roman" w:eastAsia="楷体" w:cs="Times New Roman"/>
          <w:b/>
          <w:bCs/>
          <w:color w:val="auto"/>
          <w:sz w:val="32"/>
          <w:szCs w:val="32"/>
        </w:rPr>
        <w:t>土壤电阻率</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建议多次测量不同距离的土壤电阻率。如受场地限制仅做一次，建议测量5m极间距时的土壤电阻率。</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经过季节修正和修约后的数值。</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09" w:name="_Toc11443"/>
      <w:bookmarkStart w:id="110" w:name="_Toc2605"/>
      <w:r>
        <w:rPr>
          <w:rFonts w:hint="eastAsia" w:ascii="黑体" w:hAnsi="黑体" w:eastAsia="黑体" w:cs="黑体"/>
          <w:b w:val="0"/>
          <w:bCs w:val="0"/>
          <w:color w:val="auto"/>
          <w:lang w:val="en-US" w:eastAsia="zh-CN"/>
        </w:rPr>
        <w:t>8.13 磁屏蔽</w:t>
      </w:r>
      <w:bookmarkEnd w:id="109"/>
      <w:bookmarkEnd w:id="110"/>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（1）位置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大尺寸金属件、屏蔽电缆、穿入格栅形大空间屏蔽的导电金属物、防雷专用屏蔽室、建筑物之间的连接线路</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各种连接的实际名称</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数量：不少于该类型总数的10%，且均不少于1处。</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来源：观察检查；当无法观察检查时，应查阅资料。</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（2）等电位和电气连接性能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屋顶金属表面、立面金属表面、混凝土内钢筋和金属门窗框架等大尺寸金属件与等电位连接处；屏蔽电缆屏蔽层两端在防雷区交界处与等电位连接排连接处；格栅形大空间屏蔽与穿入的导电金属物连接处；防雷专用屏蔽室屏蔽壳体、屏蔽门、滤波器等与等电位排连接处的实测过渡电阻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实测修约值，单位为Ω。过渡电阻实测修约值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入附表b。</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数量：a</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专设屏蔽室：全数。</w:t>
      </w:r>
    </w:p>
    <w:p>
      <w:pPr>
        <w:keepNext w:val="0"/>
        <w:keepLines w:val="0"/>
        <w:pageBreakBefore w:val="0"/>
        <w:widowControl w:val="0"/>
        <w:kinsoku/>
        <w:wordWrap/>
        <w:overflowPunct/>
        <w:topLinePunct w:val="0"/>
        <w:autoSpaceDE/>
        <w:autoSpaceDN/>
        <w:bidi w:val="0"/>
        <w:adjustRightInd/>
        <w:snapToGrid w:val="0"/>
        <w:spacing w:line="560" w:lineRule="exact"/>
        <w:ind w:left="1596" w:leftChars="760" w:firstLine="0" w:firstLineChars="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其他各类型金属物、屏蔽电缆金属屏蔽层等：不应少于该类型总数的10%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且均不少于1处。</w:t>
      </w:r>
    </w:p>
    <w:p>
      <w:pPr>
        <w:keepNext w:val="0"/>
        <w:keepLines w:val="0"/>
        <w:pageBreakBefore w:val="0"/>
        <w:widowControl w:val="0"/>
        <w:kinsoku/>
        <w:wordWrap/>
        <w:overflowPunct/>
        <w:topLinePunct w:val="0"/>
        <w:autoSpaceDE/>
        <w:autoSpaceDN/>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来源：测量过渡电阻，测量方法应按照GB/T21431—2023附录D进行。</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（3）电气贯通性能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金属管、金属格栅或钢筋成格栅形的混凝土管道两端之间的实测过渡电阻值，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实测修约值，单位为Ω。过渡电阻实测修约值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入附录b。</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数量：全数。</w:t>
      </w:r>
    </w:p>
    <w:p>
      <w:pPr>
        <w:keepNext w:val="0"/>
        <w:keepLines w:val="0"/>
        <w:pageBreakBefore w:val="0"/>
        <w:widowControl w:val="0"/>
        <w:kinsoku/>
        <w:wordWrap/>
        <w:overflowPunct/>
        <w:topLinePunct w:val="0"/>
        <w:autoSpaceDE/>
        <w:autoSpaceDN/>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来源：测量过渡电阻，测量方法应按照GB/T21431—2023附录D进行。</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0"/>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（4）屏蔽效果</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被保护设备在屏蔽空间的磁场强度，单位为Gs。</w:t>
      </w:r>
    </w:p>
    <w:p>
      <w:pPr>
        <w:keepNext w:val="0"/>
        <w:keepLines w:val="0"/>
        <w:pageBreakBefore w:val="0"/>
        <w:widowControl w:val="0"/>
        <w:kinsoku/>
        <w:wordWrap/>
        <w:overflowPunct/>
        <w:topLinePunct w:val="0"/>
        <w:autoSpaceDE/>
        <w:autoSpaceDN/>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数量：a</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第二类防雷建筑物中的数据机房或通信机房：全数。b</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其他有特殊需求的屏蔽空间：全数。</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来源：采用下列一种或多种方法。</w:t>
      </w:r>
    </w:p>
    <w:p>
      <w:pPr>
        <w:keepNext w:val="0"/>
        <w:keepLines w:val="0"/>
        <w:pageBreakBefore w:val="0"/>
        <w:widowControl w:val="0"/>
        <w:kinsoku/>
        <w:wordWrap/>
        <w:overflowPunct/>
        <w:topLinePunct w:val="0"/>
        <w:autoSpaceDE/>
        <w:autoSpaceDN/>
        <w:bidi w:val="0"/>
        <w:adjustRightInd/>
        <w:snapToGrid w:val="0"/>
        <w:spacing w:line="560" w:lineRule="exact"/>
        <w:ind w:left="1916" w:leftChars="760" w:hanging="320" w:hangingChars="1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a）</w:t>
      </w:r>
      <w:r>
        <w:rPr>
          <w:rFonts w:hint="default" w:ascii="Times New Roman" w:hAnsi="Times New Roman" w:eastAsia="仿宋_GB2312" w:cs="Times New Roman"/>
          <w:color w:val="auto"/>
          <w:sz w:val="32"/>
          <w:szCs w:val="32"/>
          <w:lang w:val="en-US" w:eastAsia="zh-CN"/>
        </w:rPr>
        <w:t>查阅资料或使用长度测量设备获得格栅形屏蔽网格宽、格栅形屏蔽网格导体半径和屏蔽空间内被保护设备与屏蔽空间的距离等相关数据后，依据GB50057—2010中6.3.2规定的方法，计算被保护设备在屏蔽空间内的磁场强度。</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测量被保护设备在屏蔽空间内的磁场强度，测量方</w:t>
      </w:r>
    </w:p>
    <w:p>
      <w:pPr>
        <w:keepNext w:val="0"/>
        <w:keepLines w:val="0"/>
        <w:pageBreakBefore w:val="0"/>
        <w:widowControl w:val="0"/>
        <w:kinsoku/>
        <w:wordWrap/>
        <w:overflowPunct/>
        <w:topLinePunct w:val="0"/>
        <w:autoSpaceDE/>
        <w:autoSpaceDN/>
        <w:bidi w:val="0"/>
        <w:adjustRightInd/>
        <w:snapToGrid w:val="0"/>
        <w:spacing w:line="560" w:lineRule="exact"/>
        <w:ind w:firstLine="1920" w:firstLineChars="6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法应按照GB/T21431—</w:t>
      </w:r>
      <w:r>
        <w:rPr>
          <w:rFonts w:hint="eastAsia" w:ascii="Times New Roman" w:hAnsi="Times New Roman" w:eastAsia="仿宋_GB2312" w:cs="Times New Roman"/>
          <w:color w:val="auto"/>
          <w:sz w:val="32"/>
          <w:szCs w:val="32"/>
          <w:lang w:val="en-US" w:eastAsia="zh-CN"/>
        </w:rPr>
        <w:t>2023</w:t>
      </w:r>
      <w:r>
        <w:rPr>
          <w:rFonts w:hint="default" w:ascii="Times New Roman" w:hAnsi="Times New Roman" w:eastAsia="仿宋_GB2312" w:cs="Times New Roman"/>
          <w:color w:val="auto"/>
          <w:sz w:val="32"/>
          <w:szCs w:val="32"/>
          <w:lang w:val="en-US" w:eastAsia="zh-CN"/>
        </w:rPr>
        <w:t>附录H进行</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11" w:name="_Toc21550"/>
      <w:bookmarkStart w:id="112" w:name="_Toc15172"/>
      <w:r>
        <w:rPr>
          <w:rFonts w:hint="eastAsia" w:ascii="黑体" w:hAnsi="黑体" w:eastAsia="黑体" w:cs="黑体"/>
          <w:b w:val="0"/>
          <w:bCs w:val="0"/>
          <w:color w:val="auto"/>
          <w:lang w:val="en-US" w:eastAsia="zh-CN"/>
        </w:rPr>
        <w:t>8.14 防雷等电位连接</w:t>
      </w:r>
      <w:bookmarkEnd w:id="111"/>
      <w:bookmarkEnd w:id="112"/>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（1）</w:t>
      </w:r>
      <w:r>
        <w:rPr>
          <w:rFonts w:hint="default" w:ascii="Times New Roman" w:hAnsi="Times New Roman" w:eastAsia="楷体" w:cs="Times New Roman"/>
          <w:b/>
          <w:bCs/>
          <w:color w:val="auto"/>
          <w:sz w:val="32"/>
          <w:szCs w:val="32"/>
          <w:lang w:val="en-US" w:eastAsia="zh-CN"/>
        </w:rPr>
        <w:t>位置</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实际位置，线路敷设情况</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“架空”或“埋地”。</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数量：a</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第一类防雷建筑物：全数；</w:t>
      </w:r>
    </w:p>
    <w:p>
      <w:pPr>
        <w:keepNext w:val="0"/>
        <w:keepLines w:val="0"/>
        <w:pageBreakBefore w:val="0"/>
        <w:kinsoku/>
        <w:wordWrap/>
        <w:overflowPunct/>
        <w:topLinePunct w:val="0"/>
        <w:bidi w:val="0"/>
        <w:adjustRightInd/>
        <w:snapToGrid w:val="0"/>
        <w:spacing w:line="560" w:lineRule="exact"/>
        <w:ind w:left="2236" w:leftChars="760" w:hanging="640" w:hanging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符合GB50057—2010中3.0.3第5款～第8款规定的第二类防雷建筑物：全数；</w:t>
      </w:r>
    </w:p>
    <w:p>
      <w:pPr>
        <w:keepNext w:val="0"/>
        <w:keepLines w:val="0"/>
        <w:pageBreakBefore w:val="0"/>
        <w:kinsoku/>
        <w:wordWrap/>
        <w:overflowPunct/>
        <w:topLinePunct w:val="0"/>
        <w:bidi w:val="0"/>
        <w:adjustRightInd/>
        <w:snapToGrid w:val="0"/>
        <w:spacing w:line="560" w:lineRule="exact"/>
        <w:ind w:firstLine="1600" w:firstLineChars="5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电子系统外露导电物：全数；</w:t>
      </w:r>
    </w:p>
    <w:p>
      <w:pPr>
        <w:keepNext w:val="0"/>
        <w:keepLines w:val="0"/>
        <w:pageBreakBefore w:val="0"/>
        <w:kinsoku/>
        <w:wordWrap/>
        <w:overflowPunct/>
        <w:topLinePunct w:val="0"/>
        <w:bidi w:val="0"/>
        <w:adjustRightInd/>
        <w:snapToGrid w:val="0"/>
        <w:spacing w:line="560" w:lineRule="exact"/>
        <w:ind w:left="2044" w:leftChars="760" w:hanging="448" w:hangingChars="14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17"/>
          <w:sz w:val="32"/>
          <w:szCs w:val="32"/>
          <w:lang w:val="en-US" w:eastAsia="zh-CN"/>
        </w:rPr>
        <w:t>其他防雷建筑物：不应少于各类型位置总数的20%且</w:t>
      </w:r>
      <w:r>
        <w:rPr>
          <w:rFonts w:hint="default" w:ascii="Times New Roman" w:hAnsi="Times New Roman" w:eastAsia="仿宋_GB2312" w:cs="Times New Roman"/>
          <w:color w:val="auto"/>
          <w:sz w:val="32"/>
          <w:szCs w:val="32"/>
          <w:lang w:val="en-US" w:eastAsia="zh-CN"/>
        </w:rPr>
        <w:t>均不少于1处。</w:t>
      </w:r>
    </w:p>
    <w:p>
      <w:pPr>
        <w:keepNext w:val="0"/>
        <w:keepLines w:val="0"/>
        <w:pageBreakBefore w:val="0"/>
        <w:kinsoku/>
        <w:wordWrap/>
        <w:overflowPunct/>
        <w:topLinePunct w:val="0"/>
        <w:bidi w:val="0"/>
        <w:adjustRightInd/>
        <w:snapToGrid w:val="0"/>
        <w:spacing w:line="560" w:lineRule="exact"/>
        <w:ind w:left="1799" w:leftChars="247" w:hanging="1280" w:hangingChars="4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方法：a</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长金属物的弯头、阀门、法兰盘等连接处测量过渡电阻，测量方法应按照</w:t>
      </w:r>
      <w:r>
        <w:rPr>
          <w:rFonts w:hint="default" w:ascii="Times New Roman" w:hAnsi="Times New Roman" w:eastAsia="仿宋_GB2312" w:cs="Times New Roman"/>
          <w:color w:val="auto"/>
          <w:kern w:val="2"/>
          <w:sz w:val="32"/>
          <w:szCs w:val="32"/>
          <w:lang w:val="en-US" w:eastAsia="zh-CN" w:bidi="ar-SA"/>
        </w:rPr>
        <w:t>GB/T21431—202</w:t>
      </w:r>
      <w:r>
        <w:rPr>
          <w:rFonts w:hint="default" w:ascii="Times New Roman" w:hAnsi="Times New Roman" w:eastAsia="仿宋_GB2312" w:cs="Times New Roman"/>
          <w:color w:val="auto"/>
          <w:sz w:val="32"/>
          <w:szCs w:val="32"/>
          <w:lang w:val="en-US" w:eastAsia="zh-CN"/>
        </w:rPr>
        <w:t>附录D进行，根据测量结果观察检查；</w:t>
      </w:r>
    </w:p>
    <w:p>
      <w:pPr>
        <w:keepNext w:val="0"/>
        <w:keepLines w:val="0"/>
        <w:pageBreakBefore w:val="0"/>
        <w:kinsoku/>
        <w:wordWrap/>
        <w:overflowPunct/>
        <w:topLinePunct w:val="0"/>
        <w:bidi w:val="0"/>
        <w:adjustRightInd/>
        <w:snapToGrid w:val="0"/>
        <w:spacing w:line="560" w:lineRule="exact"/>
        <w:ind w:left="0" w:leftChars="0" w:firstLine="1478" w:firstLineChars="462"/>
        <w:jc w:val="both"/>
        <w:textAlignment w:val="auto"/>
        <w:rPr>
          <w:rFonts w:hint="default" w:ascii="Times New Roman" w:hAnsi="Times New Roman" w:eastAsia="仿宋_GB2312" w:cs="Times New Roman"/>
          <w:color w:val="auto"/>
          <w:spacing w:val="-17"/>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pacing w:val="-17"/>
          <w:sz w:val="32"/>
          <w:szCs w:val="32"/>
          <w:lang w:val="en-US" w:eastAsia="zh-CN"/>
        </w:rPr>
        <w:t>其他位置，观察检查；当无法观察检查时应查阅资料。</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（2）</w:t>
      </w:r>
      <w:r>
        <w:rPr>
          <w:rFonts w:hint="default" w:ascii="Times New Roman" w:hAnsi="Times New Roman" w:eastAsia="楷体" w:cs="Times New Roman"/>
          <w:b/>
          <w:bCs/>
          <w:color w:val="auto"/>
          <w:sz w:val="32"/>
          <w:szCs w:val="32"/>
          <w:lang w:val="en-US" w:eastAsia="zh-CN"/>
        </w:rPr>
        <w:t>结构</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“S型”或“M型”或“SM型”。</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数量：全数。</w:t>
      </w:r>
    </w:p>
    <w:p>
      <w:pPr>
        <w:keepNext w:val="0"/>
        <w:keepLines w:val="0"/>
        <w:pageBreakBefore w:val="0"/>
        <w:kinsoku/>
        <w:wordWrap/>
        <w:overflowPunct/>
        <w:topLinePunct w:val="0"/>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来源：观察检查，必要时使用长度测量设备测量；当无法观察检查时，应查阅资料。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562" w:firstLineChars="200"/>
        <w:jc w:val="left"/>
        <w:textAlignment w:val="auto"/>
        <w:rPr>
          <w:rFonts w:hint="default" w:ascii="Times New Roman" w:hAnsi="Times New Roman" w:eastAsia="仿宋_GB2312" w:cs="Times New Roman"/>
          <w:b/>
          <w:bCs/>
          <w:color w:val="auto"/>
          <w:kern w:val="2"/>
          <w:sz w:val="28"/>
          <w:szCs w:val="28"/>
          <w:lang w:val="en-US" w:eastAsia="zh-CN" w:bidi="ar-SA"/>
        </w:rPr>
      </w:pPr>
      <w:r>
        <w:rPr>
          <w:rFonts w:hint="default" w:ascii="Times New Roman" w:hAnsi="Times New Roman" w:eastAsia="仿宋_GB2312" w:cs="Times New Roman"/>
          <w:b/>
          <w:bCs/>
          <w:color w:val="auto"/>
          <w:kern w:val="2"/>
          <w:sz w:val="28"/>
          <w:szCs w:val="28"/>
          <w:lang w:val="en-US" w:eastAsia="zh-CN" w:bidi="ar-SA"/>
        </w:rPr>
        <w:t>注：SM指单点和多点接地的组合，也即有S型和M型的组合形式。</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（3）</w:t>
      </w:r>
      <w:r>
        <w:rPr>
          <w:rFonts w:hint="default" w:ascii="Times New Roman" w:hAnsi="Times New Roman" w:eastAsia="楷体" w:cs="Times New Roman"/>
          <w:b/>
          <w:bCs/>
          <w:color w:val="auto"/>
          <w:sz w:val="32"/>
          <w:szCs w:val="32"/>
          <w:lang w:val="en-US" w:eastAsia="zh-CN"/>
        </w:rPr>
        <w:t>材料和规格</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材料</w:t>
      </w:r>
      <w:r>
        <w:rPr>
          <w:rFonts w:hint="eastAsia" w:eastAsia="仿宋_GB2312" w:cs="Times New Roman"/>
          <w:color w:val="auto"/>
          <w:sz w:val="32"/>
          <w:szCs w:val="32"/>
          <w:lang w:val="en-US" w:eastAsia="zh-CN"/>
        </w:rPr>
        <w:t>填写</w:t>
      </w:r>
      <w:r>
        <w:rPr>
          <w:rFonts w:hint="default" w:eastAsia="仿宋_GB2312" w:cs="Times New Roman"/>
          <w:color w:val="auto"/>
          <w:sz w:val="32"/>
          <w:szCs w:val="32"/>
          <w:lang w:val="en-US" w:eastAsia="zh-CN"/>
        </w:rPr>
        <w:t>Fe/Cu/A</w:t>
      </w:r>
      <w:r>
        <w:rPr>
          <w:rFonts w:hint="eastAsia" w:eastAsia="仿宋_GB2312" w:cs="Times New Roman"/>
          <w:color w:val="auto"/>
          <w:sz w:val="32"/>
          <w:szCs w:val="32"/>
          <w:lang w:val="en-US" w:eastAsia="zh-CN"/>
        </w:rPr>
        <w:t>l</w:t>
      </w:r>
      <w:r>
        <w:rPr>
          <w:rFonts w:hint="default" w:eastAsia="仿宋_GB2312" w:cs="Times New Roman"/>
          <w:color w:val="auto"/>
          <w:sz w:val="32"/>
          <w:szCs w:val="32"/>
          <w:lang w:val="en-US" w:eastAsia="zh-CN"/>
        </w:rPr>
        <w:t>；规格</w:t>
      </w:r>
      <w:r>
        <w:rPr>
          <w:rFonts w:hint="eastAsia" w:eastAsia="仿宋_GB2312" w:cs="Times New Roman"/>
          <w:color w:val="auto"/>
          <w:sz w:val="32"/>
          <w:szCs w:val="32"/>
          <w:lang w:val="en-US" w:eastAsia="zh-CN"/>
        </w:rPr>
        <w:t>填写</w:t>
      </w:r>
      <w:r>
        <w:rPr>
          <w:rFonts w:hint="default" w:eastAsia="仿宋_GB2312" w:cs="Times New Roman"/>
          <w:color w:val="auto"/>
          <w:sz w:val="32"/>
          <w:szCs w:val="32"/>
          <w:lang w:val="en-US" w:eastAsia="zh-CN"/>
        </w:rPr>
        <w:t>实测值（</w:t>
      </w:r>
      <w:r>
        <w:rPr>
          <w:rFonts w:hint="eastAsia" w:ascii="宋体" w:hAnsi="宋体" w:eastAsia="宋体" w:cs="宋体"/>
          <w:color w:val="auto"/>
          <w:sz w:val="32"/>
          <w:szCs w:val="32"/>
          <w:lang w:val="en-US" w:eastAsia="zh-CN"/>
        </w:rPr>
        <w:t>φ=</w:t>
      </w:r>
      <w:r>
        <w:rPr>
          <w:rFonts w:hint="default" w:eastAsia="仿宋_GB2312" w:cs="Times New Roman"/>
          <w:color w:val="auto"/>
          <w:sz w:val="32"/>
          <w:szCs w:val="32"/>
          <w:lang w:val="en-US" w:eastAsia="zh-CN"/>
        </w:rPr>
        <w:t>mm</w:t>
      </w:r>
      <w:r>
        <w:rPr>
          <w:rFonts w:hint="eastAsia" w:eastAsia="仿宋_GB2312" w:cs="Times New Roman"/>
          <w:color w:val="auto"/>
          <w:sz w:val="32"/>
          <w:szCs w:val="32"/>
          <w:lang w:val="en-US" w:eastAsia="zh-CN"/>
        </w:rPr>
        <w:t>，</w:t>
      </w:r>
      <w:r>
        <w:rPr>
          <w:rFonts w:hint="default" w:eastAsia="仿宋_GB2312" w:cs="Times New Roman"/>
          <w:color w:val="auto"/>
          <w:sz w:val="32"/>
          <w:szCs w:val="32"/>
          <w:lang w:val="en-US" w:eastAsia="zh-CN"/>
        </w:rPr>
        <w:t>S=mm²，L=m），单位为m或mm。</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数量：a</w:t>
      </w:r>
      <w:r>
        <w:rPr>
          <w:rFonts w:hint="eastAsia" w:eastAsia="仿宋_GB2312" w:cs="Times New Roman"/>
          <w:color w:val="auto"/>
          <w:sz w:val="32"/>
          <w:szCs w:val="32"/>
          <w:lang w:val="en-US" w:eastAsia="zh-CN"/>
        </w:rPr>
        <w:t>）</w:t>
      </w:r>
      <w:r>
        <w:rPr>
          <w:rFonts w:hint="default" w:eastAsia="仿宋_GB2312" w:cs="Times New Roman"/>
          <w:color w:val="auto"/>
          <w:sz w:val="32"/>
          <w:szCs w:val="32"/>
          <w:lang w:val="en-US" w:eastAsia="zh-CN"/>
        </w:rPr>
        <w:t>第一类防雷建筑物：全数；</w:t>
      </w:r>
    </w:p>
    <w:p>
      <w:pPr>
        <w:keepNext w:val="0"/>
        <w:keepLines w:val="0"/>
        <w:pageBreakBefore w:val="0"/>
        <w:kinsoku/>
        <w:wordWrap/>
        <w:overflowPunct/>
        <w:topLinePunct w:val="0"/>
        <w:bidi w:val="0"/>
        <w:adjustRightInd/>
        <w:snapToGrid w:val="0"/>
        <w:spacing w:line="560" w:lineRule="exact"/>
        <w:ind w:left="1916" w:leftChars="760" w:hanging="320" w:hangingChars="100"/>
        <w:jc w:val="both"/>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eastAsia="仿宋_GB2312" w:cs="Times New Roman"/>
          <w:color w:val="auto"/>
          <w:sz w:val="32"/>
          <w:szCs w:val="32"/>
          <w:lang w:val="en-US" w:eastAsia="zh-CN"/>
        </w:rPr>
        <w:t>符合GB50057—2010中3.0.3第5款～第8款规定的第二类防雷建筑物：全数；</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eastAsia="仿宋_GB2312" w:cs="Times New Roman"/>
          <w:color w:val="auto"/>
          <w:sz w:val="32"/>
          <w:szCs w:val="32"/>
          <w:lang w:val="en-US" w:eastAsia="zh-CN"/>
        </w:rPr>
        <w:t>电子系统外露导电物：全数；</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eastAsia" w:eastAsia="仿宋_GB2312" w:cs="Times New Roman"/>
          <w:color w:val="auto"/>
          <w:spacing w:val="-11"/>
          <w:sz w:val="32"/>
          <w:szCs w:val="32"/>
          <w:lang w:val="en-US" w:eastAsia="zh-CN"/>
        </w:rPr>
      </w:pPr>
      <w:r>
        <w:rPr>
          <w:rFonts w:hint="eastAsia" w:eastAsia="仿宋_GB2312" w:cs="Times New Roman"/>
          <w:color w:val="auto"/>
          <w:sz w:val="32"/>
          <w:szCs w:val="32"/>
          <w:lang w:val="en-US" w:eastAsia="zh-CN"/>
        </w:rPr>
        <w:t>d）</w:t>
      </w:r>
      <w:r>
        <w:rPr>
          <w:rFonts w:hint="default" w:eastAsia="仿宋_GB2312" w:cs="Times New Roman"/>
          <w:color w:val="auto"/>
          <w:spacing w:val="-11"/>
          <w:sz w:val="32"/>
          <w:szCs w:val="32"/>
          <w:lang w:val="en-US" w:eastAsia="zh-CN"/>
        </w:rPr>
        <w:t>其他防雷建筑物：不应少于各类型位置总数的20%</w:t>
      </w:r>
      <w:r>
        <w:rPr>
          <w:rFonts w:hint="eastAsia" w:eastAsia="仿宋_GB2312" w:cs="Times New Roman"/>
          <w:color w:val="auto"/>
          <w:spacing w:val="-11"/>
          <w:sz w:val="32"/>
          <w:szCs w:val="32"/>
          <w:lang w:val="en-US" w:eastAsia="zh-CN"/>
        </w:rPr>
        <w:t>，</w:t>
      </w:r>
    </w:p>
    <w:p>
      <w:pPr>
        <w:keepNext w:val="0"/>
        <w:keepLines w:val="0"/>
        <w:pageBreakBefore w:val="0"/>
        <w:kinsoku/>
        <w:wordWrap/>
        <w:overflowPunct/>
        <w:topLinePunct w:val="0"/>
        <w:bidi w:val="0"/>
        <w:adjustRightInd/>
        <w:snapToGrid w:val="0"/>
        <w:spacing w:line="560" w:lineRule="exact"/>
        <w:ind w:firstLine="1920" w:firstLineChars="6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且均不少于1处。</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来源</w:t>
      </w:r>
      <w:r>
        <w:rPr>
          <w:rFonts w:hint="default" w:eastAsia="仿宋_GB2312" w:cs="Times New Roman"/>
          <w:color w:val="auto"/>
          <w:sz w:val="32"/>
          <w:szCs w:val="32"/>
          <w:lang w:val="en-US" w:eastAsia="zh-CN"/>
        </w:rPr>
        <w:t>：观察检查，必要时使用游标卡尺、千分尺或测厚仪等</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测量；当无法观察检查时，应查阅资料。</w:t>
      </w:r>
    </w:p>
    <w:p>
      <w:pPr>
        <w:pStyle w:val="29"/>
        <w:keepNext w:val="0"/>
        <w:keepLines w:val="0"/>
        <w:pageBreakBefore w:val="0"/>
        <w:widowControl/>
        <w:kinsoku/>
        <w:wordWrap/>
        <w:overflowPunct/>
        <w:topLinePunct w:val="0"/>
        <w:autoSpaceDE w:val="0"/>
        <w:autoSpaceDN w:val="0"/>
        <w:bidi w:val="0"/>
        <w:adjustRightInd/>
        <w:snapToGrid/>
        <w:spacing w:line="560" w:lineRule="exact"/>
        <w:ind w:left="0" w:leftChars="0"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（4）</w:t>
      </w:r>
      <w:r>
        <w:rPr>
          <w:rFonts w:hint="default" w:ascii="Times New Roman" w:hAnsi="Times New Roman" w:eastAsia="楷体" w:cs="Times New Roman"/>
          <w:b/>
          <w:bCs/>
          <w:color w:val="auto"/>
          <w:sz w:val="32"/>
          <w:szCs w:val="32"/>
          <w:lang w:val="en-US" w:eastAsia="zh-CN"/>
        </w:rPr>
        <w:t>连接工艺</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eastAsia="仿宋_GB2312" w:cs="Times New Roman"/>
          <w:color w:val="auto"/>
          <w:sz w:val="32"/>
          <w:szCs w:val="32"/>
          <w:lang w:val="en-US" w:eastAsia="zh-CN"/>
        </w:rPr>
        <w:t>“焊接”或“螺钉”或“螺栓螺母”或“连接端子”或“卷边压接”或“缝接”等。</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数量：a</w:t>
      </w:r>
      <w:r>
        <w:rPr>
          <w:rFonts w:hint="eastAsia" w:eastAsia="仿宋_GB2312" w:cs="Times New Roman"/>
          <w:color w:val="auto"/>
          <w:sz w:val="32"/>
          <w:szCs w:val="32"/>
          <w:lang w:val="en-US" w:eastAsia="zh-CN"/>
        </w:rPr>
        <w:t>）</w:t>
      </w:r>
      <w:r>
        <w:rPr>
          <w:rFonts w:hint="default" w:eastAsia="仿宋_GB2312" w:cs="Times New Roman"/>
          <w:color w:val="auto"/>
          <w:sz w:val="32"/>
          <w:szCs w:val="32"/>
          <w:lang w:val="en-US" w:eastAsia="zh-CN"/>
        </w:rPr>
        <w:t>第一类防雷建筑物：全数；</w:t>
      </w:r>
    </w:p>
    <w:p>
      <w:pPr>
        <w:pStyle w:val="5"/>
        <w:jc w:val="both"/>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 xml:space="preserve">      b）</w:t>
      </w:r>
      <w:r>
        <w:rPr>
          <w:rFonts w:hint="default" w:eastAsia="仿宋_GB2312" w:cs="Times New Roman"/>
          <w:color w:val="auto"/>
          <w:sz w:val="32"/>
          <w:szCs w:val="32"/>
          <w:lang w:val="en-US" w:eastAsia="zh-CN"/>
        </w:rPr>
        <w:t>符合GB50057—2010中3.0.3第5款～第8款规定</w:t>
      </w:r>
    </w:p>
    <w:p>
      <w:pPr>
        <w:keepNext w:val="0"/>
        <w:keepLines w:val="0"/>
        <w:pageBreakBefore w:val="0"/>
        <w:kinsoku/>
        <w:wordWrap/>
        <w:overflowPunct/>
        <w:topLinePunct w:val="0"/>
        <w:bidi w:val="0"/>
        <w:adjustRightInd/>
        <w:snapToGrid w:val="0"/>
        <w:spacing w:line="560" w:lineRule="exact"/>
        <w:ind w:firstLine="1920" w:firstLineChars="600"/>
        <w:jc w:val="both"/>
        <w:textAlignment w:val="auto"/>
        <w:rPr>
          <w:rFonts w:hint="default" w:eastAsia="仿宋_GB2312" w:cs="Times New Roman"/>
          <w:color w:val="auto"/>
          <w:sz w:val="32"/>
          <w:szCs w:val="32"/>
          <w:lang w:val="en-US" w:eastAsia="zh-CN"/>
        </w:rPr>
      </w:pPr>
      <w:r>
        <w:rPr>
          <w:rFonts w:hint="default" w:eastAsia="仿宋_GB2312" w:cs="Times New Roman"/>
          <w:color w:val="auto"/>
          <w:sz w:val="32"/>
          <w:szCs w:val="32"/>
          <w:lang w:val="en-US" w:eastAsia="zh-CN"/>
        </w:rPr>
        <w:t>的第二类防雷建筑物：全数；</w:t>
      </w:r>
    </w:p>
    <w:p>
      <w:pPr>
        <w:pStyle w:val="5"/>
        <w:jc w:val="both"/>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 xml:space="preserve">      c）</w:t>
      </w:r>
      <w:r>
        <w:rPr>
          <w:rFonts w:hint="default" w:eastAsia="仿宋_GB2312" w:cs="Times New Roman"/>
          <w:color w:val="auto"/>
          <w:sz w:val="32"/>
          <w:szCs w:val="32"/>
          <w:lang w:val="en-US" w:eastAsia="zh-CN"/>
        </w:rPr>
        <w:t>电子系统外露导电物：全数；</w:t>
      </w:r>
    </w:p>
    <w:p>
      <w:pPr>
        <w:pStyle w:val="5"/>
        <w:ind w:firstLine="1600" w:firstLineChars="500"/>
        <w:jc w:val="both"/>
        <w:rPr>
          <w:rFonts w:hint="eastAsia" w:eastAsia="仿宋_GB2312" w:cs="Times New Roman"/>
          <w:color w:val="auto"/>
          <w:sz w:val="32"/>
          <w:szCs w:val="32"/>
          <w:lang w:val="en-US" w:eastAsia="zh-CN"/>
        </w:rPr>
      </w:pPr>
      <w:r>
        <w:rPr>
          <w:rFonts w:hint="eastAsia" w:eastAsia="仿宋_GB2312" w:cs="Times New Roman"/>
          <w:color w:val="auto"/>
          <w:sz w:val="32"/>
          <w:szCs w:val="32"/>
          <w:lang w:val="en-US" w:eastAsia="zh-CN"/>
        </w:rPr>
        <w:t>d）</w:t>
      </w:r>
      <w:r>
        <w:rPr>
          <w:rFonts w:hint="default" w:eastAsia="仿宋_GB2312" w:cs="Times New Roman"/>
          <w:color w:val="auto"/>
          <w:sz w:val="32"/>
          <w:szCs w:val="32"/>
          <w:lang w:val="en-US" w:eastAsia="zh-CN"/>
        </w:rPr>
        <w:t>其他防雷建筑物：不应少于各类型位置总数的20%</w:t>
      </w:r>
      <w:r>
        <w:rPr>
          <w:rFonts w:hint="eastAsia" w:eastAsia="仿宋_GB2312" w:cs="Times New Roman"/>
          <w:color w:val="auto"/>
          <w:sz w:val="32"/>
          <w:szCs w:val="32"/>
          <w:lang w:val="en-US" w:eastAsia="zh-CN"/>
        </w:rPr>
        <w:t>，</w:t>
      </w:r>
    </w:p>
    <w:p>
      <w:pPr>
        <w:pStyle w:val="5"/>
        <w:ind w:firstLine="1600" w:firstLineChars="500"/>
        <w:jc w:val="both"/>
        <w:rPr>
          <w:rFonts w:hint="default" w:eastAsia="仿宋_GB2312" w:cs="Times New Roman"/>
          <w:color w:val="auto"/>
          <w:sz w:val="32"/>
          <w:szCs w:val="32"/>
          <w:lang w:val="en-US" w:eastAsia="zh-CN"/>
        </w:rPr>
      </w:pPr>
      <w:r>
        <w:rPr>
          <w:rFonts w:hint="eastAsia" w:eastAsia="仿宋_GB2312" w:cs="Times New Roman"/>
          <w:color w:val="auto"/>
          <w:sz w:val="32"/>
          <w:szCs w:val="32"/>
          <w:lang w:val="en-US" w:eastAsia="zh-CN"/>
        </w:rPr>
        <w:t xml:space="preserve"> </w:t>
      </w:r>
      <w:r>
        <w:rPr>
          <w:rFonts w:hint="default" w:eastAsia="仿宋_GB2312" w:cs="Times New Roman"/>
          <w:color w:val="auto"/>
          <w:sz w:val="32"/>
          <w:szCs w:val="32"/>
          <w:lang w:val="en-US" w:eastAsia="zh-CN"/>
        </w:rPr>
        <w:t>且均不少于1处。</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sz w:val="32"/>
          <w:szCs w:val="32"/>
          <w:lang w:val="en-US" w:eastAsia="zh-CN"/>
        </w:rPr>
        <w:t>来源</w:t>
      </w:r>
      <w:r>
        <w:rPr>
          <w:rFonts w:hint="default" w:eastAsia="仿宋_GB2312" w:cs="Times New Roman"/>
          <w:color w:val="auto"/>
          <w:sz w:val="32"/>
          <w:szCs w:val="32"/>
          <w:lang w:val="en-US" w:eastAsia="zh-CN"/>
        </w:rPr>
        <w:t>：观察检查；当无法观察检查</w:t>
      </w:r>
      <w:r>
        <w:rPr>
          <w:rFonts w:hint="default" w:ascii="Times New Roman" w:hAnsi="Times New Roman" w:eastAsia="仿宋_GB2312" w:cs="Times New Roman"/>
          <w:color w:val="auto"/>
          <w:kern w:val="2"/>
          <w:sz w:val="32"/>
          <w:szCs w:val="32"/>
          <w:lang w:val="en-US" w:eastAsia="zh-CN" w:bidi="ar-SA"/>
        </w:rPr>
        <w:t>时，应查阅资料。</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（5）</w:t>
      </w:r>
      <w:r>
        <w:rPr>
          <w:rFonts w:hint="default" w:ascii="Times New Roman" w:hAnsi="Times New Roman" w:eastAsia="楷体" w:cs="Times New Roman"/>
          <w:b/>
          <w:bCs/>
          <w:color w:val="auto"/>
          <w:sz w:val="32"/>
          <w:szCs w:val="32"/>
        </w:rPr>
        <w:t>跨接</w:t>
      </w:r>
      <w:r>
        <w:rPr>
          <w:rFonts w:hint="default" w:ascii="Times New Roman" w:hAnsi="Times New Roman" w:eastAsia="楷体" w:cs="Times New Roman"/>
          <w:b/>
          <w:bCs/>
          <w:color w:val="auto"/>
          <w:sz w:val="32"/>
          <w:szCs w:val="32"/>
          <w:lang w:val="en-US" w:eastAsia="zh-CN"/>
        </w:rPr>
        <w:t>性能</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第一类防雷建筑物以及符合GB50057</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2010中3.0.3第5款、第6款规定的第二类防雷建筑物中，平行敷设的管道、构架和电缆金属外皮等长金属物间的过渡电阻值。</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实测修约值，单位为Ω。过渡电阻实测修约值</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入附录b。</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数量：全数。</w:t>
      </w:r>
    </w:p>
    <w:p>
      <w:pPr>
        <w:pStyle w:val="5"/>
        <w:keepNext w:val="0"/>
        <w:keepLines w:val="0"/>
        <w:pageBreakBefore w:val="0"/>
        <w:kinsoku/>
        <w:wordWrap/>
        <w:overflowPunct/>
        <w:topLinePunct w:val="0"/>
        <w:bidi w:val="0"/>
        <w:adjustRightInd/>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来源：测量过渡电阻，测量方法应按照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z w:val="32"/>
          <w:szCs w:val="32"/>
          <w:lang w:val="en-US" w:eastAsia="zh-CN"/>
        </w:rPr>
        <w:t>附录D进行。</w:t>
      </w:r>
    </w:p>
    <w:p>
      <w:pPr>
        <w:keepNext w:val="0"/>
        <w:keepLines w:val="0"/>
        <w:pageBreakBefore w:val="0"/>
        <w:kinsoku/>
        <w:wordWrap/>
        <w:overflowPunct/>
        <w:topLinePunct w:val="0"/>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kern w:val="0"/>
          <w:sz w:val="32"/>
          <w:szCs w:val="32"/>
          <w:lang w:val="en-US" w:eastAsia="zh-CN" w:bidi="ar-SA"/>
        </w:rPr>
        <w:t>（6）</w:t>
      </w:r>
      <w:r>
        <w:rPr>
          <w:rFonts w:hint="default" w:ascii="Times New Roman" w:hAnsi="Times New Roman" w:eastAsia="楷体" w:cs="Times New Roman"/>
          <w:b/>
          <w:bCs/>
          <w:color w:val="auto"/>
          <w:sz w:val="32"/>
          <w:szCs w:val="32"/>
        </w:rPr>
        <w:t>等电位连接</w:t>
      </w:r>
      <w:r>
        <w:rPr>
          <w:rFonts w:hint="default" w:ascii="Times New Roman" w:hAnsi="Times New Roman" w:eastAsia="楷体" w:cs="Times New Roman"/>
          <w:b/>
          <w:bCs/>
          <w:color w:val="auto"/>
          <w:sz w:val="32"/>
          <w:szCs w:val="32"/>
          <w:lang w:val="en-US" w:eastAsia="zh-CN"/>
        </w:rPr>
        <w:t>性能</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等电位连接性测试值为过渡电阻值，</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实测修约值，单位为Ω。测试过渡电阻值须有ERP接地基准点，过渡电阻实测修约值</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入附录b。</w:t>
      </w:r>
    </w:p>
    <w:p>
      <w:pPr>
        <w:keepNext w:val="0"/>
        <w:keepLines w:val="0"/>
        <w:pageBreakBefore w:val="0"/>
        <w:kinsoku/>
        <w:wordWrap/>
        <w:overflowPunct/>
        <w:topLinePunct w:val="0"/>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测量内容为GB/T 21431</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2023表8规定。</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数量：a</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第一类防雷建筑物：全数；</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符合GB50057—2010中3.0.3第5款～第8款规定</w:t>
      </w:r>
    </w:p>
    <w:p>
      <w:pPr>
        <w:keepNext w:val="0"/>
        <w:keepLines w:val="0"/>
        <w:pageBreakBefore w:val="0"/>
        <w:kinsoku/>
        <w:wordWrap/>
        <w:overflowPunct/>
        <w:topLinePunct w:val="0"/>
        <w:bidi w:val="0"/>
        <w:adjustRightInd/>
        <w:snapToGrid w:val="0"/>
        <w:spacing w:line="560" w:lineRule="exact"/>
        <w:ind w:firstLine="1920" w:firstLineChars="6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的第二类防雷建筑物：全数；</w:t>
      </w:r>
    </w:p>
    <w:p>
      <w:pPr>
        <w:keepNext w:val="0"/>
        <w:keepLines w:val="0"/>
        <w:pageBreakBefore w:val="0"/>
        <w:kinsoku/>
        <w:wordWrap/>
        <w:overflowPunct/>
        <w:topLinePunct w:val="0"/>
        <w:bidi w:val="0"/>
        <w:adjustRightInd/>
        <w:snapToGrid w:val="0"/>
        <w:spacing w:line="560" w:lineRule="exact"/>
        <w:ind w:firstLine="1600" w:firstLineChars="5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电子系统外露导电物：全数；</w:t>
      </w:r>
    </w:p>
    <w:p>
      <w:pPr>
        <w:keepNext w:val="0"/>
        <w:keepLines w:val="0"/>
        <w:pageBreakBefore w:val="0"/>
        <w:kinsoku/>
        <w:wordWrap/>
        <w:overflowPunct/>
        <w:topLinePunct w:val="0"/>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17"/>
          <w:sz w:val="32"/>
          <w:szCs w:val="32"/>
          <w:lang w:val="en-US" w:eastAsia="zh-CN"/>
        </w:rPr>
        <w:t>其他防雷建筑物：不应少于各类型位置总数的20%，</w:t>
      </w:r>
      <w:r>
        <w:rPr>
          <w:rFonts w:hint="default" w:ascii="Times New Roman" w:hAnsi="Times New Roman" w:eastAsia="仿宋_GB2312" w:cs="Times New Roman"/>
          <w:color w:val="auto"/>
          <w:sz w:val="32"/>
          <w:szCs w:val="32"/>
          <w:lang w:val="en-US" w:eastAsia="zh-CN"/>
        </w:rPr>
        <w:t>且</w:t>
      </w:r>
    </w:p>
    <w:p>
      <w:pPr>
        <w:keepNext w:val="0"/>
        <w:keepLines w:val="0"/>
        <w:pageBreakBefore w:val="0"/>
        <w:kinsoku/>
        <w:wordWrap/>
        <w:overflowPunct/>
        <w:topLinePunct w:val="0"/>
        <w:bidi w:val="0"/>
        <w:adjustRightInd/>
        <w:snapToGrid w:val="0"/>
        <w:spacing w:line="560" w:lineRule="exact"/>
        <w:ind w:firstLine="2240" w:firstLineChars="7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均不少于1处。</w:t>
      </w:r>
    </w:p>
    <w:p>
      <w:pPr>
        <w:pStyle w:val="5"/>
        <w:keepNext w:val="0"/>
        <w:keepLines w:val="0"/>
        <w:pageBreakBefore w:val="0"/>
        <w:kinsoku/>
        <w:wordWrap/>
        <w:overflowPunct/>
        <w:topLinePunct w:val="0"/>
        <w:bidi w:val="0"/>
        <w:adjustRightIn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来源：测量过渡电阻，测量方法应按照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z w:val="32"/>
          <w:szCs w:val="32"/>
          <w:lang w:val="en-US" w:eastAsia="zh-CN"/>
        </w:rPr>
        <w:t>附</w:t>
      </w:r>
    </w:p>
    <w:p>
      <w:pPr>
        <w:pStyle w:val="5"/>
        <w:keepNext w:val="0"/>
        <w:keepLines w:val="0"/>
        <w:pageBreakBefore w:val="0"/>
        <w:kinsoku/>
        <w:wordWrap/>
        <w:overflowPunct/>
        <w:topLinePunct w:val="0"/>
        <w:bidi w:val="0"/>
        <w:adjustRightInd/>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录D进行。</w:t>
      </w:r>
    </w:p>
    <w:p>
      <w:pPr>
        <w:pStyle w:val="5"/>
        <w:keepNext w:val="0"/>
        <w:keepLines w:val="0"/>
        <w:pageBreakBefore w:val="0"/>
        <w:kinsoku/>
        <w:wordWrap/>
        <w:overflowPunct/>
        <w:topLinePunct w:val="0"/>
        <w:bidi w:val="0"/>
        <w:adjustRightInd/>
        <w:spacing w:line="560" w:lineRule="exact"/>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0"/>
          <w:sz w:val="32"/>
          <w:szCs w:val="32"/>
          <w:lang w:val="en-US" w:eastAsia="zh-CN" w:bidi="ar-SA"/>
        </w:rPr>
        <w:t>（7）</w:t>
      </w:r>
      <w:r>
        <w:rPr>
          <w:rFonts w:hint="default" w:ascii="Times New Roman" w:hAnsi="Times New Roman" w:eastAsia="楷体" w:cs="Times New Roman"/>
          <w:b/>
          <w:bCs/>
          <w:color w:val="auto"/>
          <w:kern w:val="2"/>
          <w:sz w:val="32"/>
          <w:szCs w:val="32"/>
          <w:lang w:val="en-US" w:eastAsia="zh-CN" w:bidi="ar-SA"/>
        </w:rPr>
        <w:t>接地基准点（ERP）接地性能</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用作</w:t>
      </w:r>
      <w:r>
        <w:rPr>
          <w:rFonts w:hint="default" w:ascii="Times New Roman" w:hAnsi="Times New Roman" w:eastAsia="仿宋_GB2312" w:cs="Times New Roman"/>
          <w:color w:val="auto"/>
          <w:sz w:val="32"/>
          <w:szCs w:val="32"/>
          <w:lang w:val="en-US" w:eastAsia="zh-CN"/>
        </w:rPr>
        <w:t>接地基准点（ERP）的等电位连接端子或金属导体的接地电阻，</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w:t>
      </w:r>
    </w:p>
    <w:p>
      <w:pPr>
        <w:keepNext w:val="0"/>
        <w:keepLines w:val="0"/>
        <w:pageBreakBefore w:val="0"/>
        <w:kinsoku/>
        <w:wordWrap/>
        <w:overflowPunct/>
        <w:topLinePunct w:val="0"/>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测试过渡电阻值须有ERP接地基准点，接地基准点接地电阻实测修约值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w:t>
      </w:r>
      <w:r>
        <w:rPr>
          <w:rFonts w:hint="eastAsia" w:ascii="Times New Roman" w:hAnsi="Times New Roman" w:eastAsia="仿宋_GB2312" w:cs="Times New Roman"/>
          <w:color w:val="auto"/>
          <w:sz w:val="32"/>
          <w:szCs w:val="32"/>
          <w:lang w:val="en-US" w:eastAsia="zh-CN"/>
        </w:rPr>
        <w:t>附表a</w:t>
      </w:r>
      <w:r>
        <w:rPr>
          <w:rFonts w:hint="default" w:ascii="Times New Roman" w:hAnsi="Times New Roman" w:eastAsia="仿宋_GB2312" w:cs="Times New Roman"/>
          <w:color w:val="auto"/>
          <w:sz w:val="32"/>
          <w:szCs w:val="32"/>
          <w:lang w:val="en-US" w:eastAsia="zh-CN"/>
        </w:rPr>
        <w:t>，或从</w:t>
      </w:r>
      <w:r>
        <w:rPr>
          <w:rFonts w:hint="eastAsia" w:ascii="Times New Roman" w:hAnsi="Times New Roman" w:eastAsia="仿宋_GB2312" w:cs="Times New Roman"/>
          <w:color w:val="auto"/>
          <w:sz w:val="32"/>
          <w:szCs w:val="32"/>
          <w:lang w:val="en-US" w:eastAsia="zh-CN"/>
        </w:rPr>
        <w:t>附表a</w:t>
      </w:r>
      <w:r>
        <w:rPr>
          <w:rFonts w:hint="default" w:ascii="Times New Roman" w:hAnsi="Times New Roman" w:eastAsia="仿宋_GB2312" w:cs="Times New Roman"/>
          <w:color w:val="auto"/>
          <w:sz w:val="32"/>
          <w:szCs w:val="32"/>
          <w:lang w:val="en-US" w:eastAsia="zh-CN"/>
        </w:rPr>
        <w:t>中选取，不再测试接地电阻。过渡电阻实测修约值</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入附录b。</w:t>
      </w:r>
    </w:p>
    <w:p>
      <w:pPr>
        <w:keepNext w:val="0"/>
        <w:keepLines w:val="0"/>
        <w:pageBreakBefore w:val="0"/>
        <w:kinsoku/>
        <w:wordWrap/>
        <w:overflowPunct/>
        <w:topLinePunct w:val="0"/>
        <w:bidi w:val="0"/>
        <w:adjustRightInd/>
        <w:spacing w:line="560" w:lineRule="exact"/>
        <w:ind w:firstLine="643" w:firstLineChars="200"/>
        <w:jc w:val="left"/>
        <w:textAlignment w:val="auto"/>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注意事项：接闪装置、</w:t>
      </w:r>
      <w:r>
        <w:rPr>
          <w:rFonts w:hint="default" w:ascii="Times New Roman" w:hAnsi="Times New Roman" w:eastAsia="黑体" w:cs="Times New Roman"/>
          <w:b/>
          <w:color w:val="auto"/>
          <w:sz w:val="32"/>
          <w:szCs w:val="32"/>
          <w:lang w:val="en-US" w:eastAsia="zh-CN"/>
        </w:rPr>
        <w:t>引下</w:t>
      </w:r>
      <w:r>
        <w:rPr>
          <w:rFonts w:hint="default" w:ascii="Times New Roman" w:hAnsi="Times New Roman" w:eastAsia="黑体" w:cs="Times New Roman"/>
          <w:b/>
          <w:color w:val="auto"/>
          <w:sz w:val="32"/>
          <w:szCs w:val="32"/>
        </w:rPr>
        <w:t>装置</w:t>
      </w:r>
      <w:r>
        <w:rPr>
          <w:rFonts w:hint="default" w:ascii="Times New Roman" w:hAnsi="Times New Roman" w:eastAsia="黑体" w:cs="Times New Roman"/>
          <w:b/>
          <w:color w:val="auto"/>
          <w:sz w:val="32"/>
          <w:szCs w:val="32"/>
          <w:lang w:eastAsia="zh-CN"/>
        </w:rPr>
        <w:t>、</w:t>
      </w:r>
      <w:r>
        <w:rPr>
          <w:rFonts w:hint="default" w:ascii="Times New Roman" w:hAnsi="Times New Roman" w:eastAsia="黑体" w:cs="Times New Roman"/>
          <w:b/>
          <w:color w:val="auto"/>
          <w:sz w:val="32"/>
          <w:szCs w:val="32"/>
        </w:rPr>
        <w:t>接地装置、磁屏蔽、防雷等电位连接表中对应的电气连接性能、等电位连接、电气贯通性能均不相同。</w:t>
      </w:r>
    </w:p>
    <w:p>
      <w:pPr>
        <w:pStyle w:val="3"/>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b w:val="0"/>
          <w:bCs w:val="0"/>
          <w:color w:val="auto"/>
          <w:lang w:val="en-US" w:eastAsia="zh-CN"/>
        </w:rPr>
      </w:pPr>
      <w:bookmarkStart w:id="113" w:name="_Toc36143155"/>
      <w:bookmarkStart w:id="114" w:name="_Toc30765"/>
      <w:bookmarkStart w:id="115" w:name="_Toc27765"/>
      <w:r>
        <w:rPr>
          <w:rFonts w:hint="eastAsia" w:ascii="黑体" w:hAnsi="黑体" w:eastAsia="黑体" w:cs="黑体"/>
          <w:b w:val="0"/>
          <w:bCs w:val="0"/>
          <w:color w:val="auto"/>
          <w:lang w:val="en-US" w:eastAsia="zh-CN"/>
        </w:rPr>
        <w:t>8.15 电涌保护器</w:t>
      </w:r>
      <w:bookmarkEnd w:id="113"/>
      <w:bookmarkEnd w:id="114"/>
      <w:bookmarkEnd w:id="115"/>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（1）布置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highlight w:val="none"/>
          <w:lang w:val="en-US" w:eastAsia="zh-CN"/>
        </w:rPr>
        <w:t>填冲击试验级别所布置的层级和数量</w:t>
      </w:r>
      <w:r>
        <w:rPr>
          <w:rFonts w:hint="default" w:ascii="Times New Roman" w:hAnsi="Times New Roman" w:eastAsia="仿宋_GB2312" w:cs="Times New Roman"/>
          <w:color w:val="auto"/>
          <w:sz w:val="32"/>
          <w:szCs w:val="32"/>
          <w:lang w:val="en-US" w:eastAsia="zh-CN"/>
        </w:rPr>
        <w:t>，总配电箱、电气电子设备处、架空线引入处、其他位置。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6"/>
          <w:sz w:val="32"/>
          <w:szCs w:val="32"/>
          <w:lang w:val="en-US" w:eastAsia="zh-CN"/>
        </w:rPr>
        <w:t>a</w:t>
      </w:r>
      <w:r>
        <w:rPr>
          <w:rFonts w:hint="eastAsia"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z w:val="32"/>
          <w:szCs w:val="32"/>
          <w:lang w:val="en-US" w:eastAsia="zh-CN"/>
        </w:rPr>
        <w:t>其他位置：不应少于总数的20%</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napToGrid w:val="0"/>
        <w:spacing w:line="560" w:lineRule="exact"/>
        <w:ind w:left="0" w:leftChars="0" w:firstLine="2115" w:firstLineChars="661"/>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处时，全数。</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来源：观察检查，当无法观察检查时，应查阅资料。</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（2）防护等级和级间配合</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级数：</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1、2、3、4级；级间配合：</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“开关型与限压型＞10m”或“限压型与限压型＞5m”或“设置退耦装置”。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供电制式：</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TN-S、TN-C-S、TN-C、TT、IT。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6"/>
          <w:sz w:val="32"/>
          <w:szCs w:val="32"/>
          <w:lang w:val="en-US" w:eastAsia="zh-CN"/>
        </w:rPr>
        <w:t>a</w:t>
      </w:r>
      <w:r>
        <w:rPr>
          <w:rFonts w:hint="eastAsia"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pacing w:val="0"/>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0"/>
          <w:sz w:val="32"/>
          <w:szCs w:val="32"/>
          <w:lang w:val="en-US" w:eastAsia="zh-CN"/>
        </w:rPr>
        <w:t>其他位置：不应少于总数的20%</w:t>
      </w:r>
      <w:r>
        <w:rPr>
          <w:rFonts w:hint="eastAsia"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napToGrid w:val="0"/>
        <w:spacing w:line="560" w:lineRule="exact"/>
        <w:ind w:firstLine="2240" w:firstLineChars="7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处时，全数。</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方法：观察检查，当无法观察检查时，应查阅资料。</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（3）位置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楼层、房间、箱号等。</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（4）型号</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浪涌保护器铭牌显示的SPD型号。</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（5）外观</w:t>
      </w:r>
    </w:p>
    <w:p>
      <w:pPr>
        <w:keepNext w:val="0"/>
        <w:keepLines w:val="0"/>
        <w:pageBreakBefore w:val="0"/>
        <w:widowControl w:val="0"/>
        <w:kinsoku/>
        <w:wordWrap/>
        <w:overflowPunct/>
        <w:topLinePunct w:val="0"/>
        <w:autoSpaceDE/>
        <w:autoSpaceDN/>
        <w:bidi w:val="0"/>
        <w:adjustRightInd/>
        <w:snapToGrid w:val="0"/>
        <w:spacing w:line="560" w:lineRule="exact"/>
        <w:ind w:firstLine="572"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pacing w:val="-17"/>
          <w:sz w:val="32"/>
          <w:szCs w:val="32"/>
          <w:lang w:val="en-US" w:eastAsia="zh-CN"/>
        </w:rPr>
        <w:t>主要观察外观表面，标识，状态指示，</w:t>
      </w:r>
      <w:r>
        <w:rPr>
          <w:rFonts w:hint="eastAsia" w:eastAsia="仿宋_GB2312" w:cs="Times New Roman"/>
          <w:color w:val="auto"/>
          <w:spacing w:val="-17"/>
          <w:sz w:val="32"/>
          <w:szCs w:val="32"/>
          <w:lang w:val="en-US" w:eastAsia="zh-CN"/>
        </w:rPr>
        <w:t>填写</w:t>
      </w:r>
      <w:r>
        <w:rPr>
          <w:rFonts w:hint="default" w:ascii="Times New Roman" w:hAnsi="Times New Roman" w:eastAsia="仿宋_GB2312" w:cs="Times New Roman"/>
          <w:color w:val="auto"/>
          <w:spacing w:val="-17"/>
          <w:sz w:val="32"/>
          <w:szCs w:val="32"/>
          <w:lang w:val="en-US" w:eastAsia="zh-CN"/>
        </w:rPr>
        <w:t>“正常”或“不正常”。</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（6）外部脱离器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“设置”或“未设置”；若设置</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“SSD”或“熔断器”或“断路器”。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17"/>
          <w:sz w:val="32"/>
          <w:szCs w:val="32"/>
          <w:lang w:val="en-US" w:eastAsia="zh-CN"/>
        </w:rPr>
        <w:t>a</w:t>
      </w:r>
      <w:r>
        <w:rPr>
          <w:rFonts w:hint="eastAsia" w:eastAsia="仿宋_GB2312" w:cs="Times New Roman"/>
          <w:color w:val="auto"/>
          <w:spacing w:val="-17"/>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pacing w:val="0"/>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0"/>
          <w:sz w:val="32"/>
          <w:szCs w:val="32"/>
          <w:lang w:val="en-US" w:eastAsia="zh-CN"/>
        </w:rPr>
        <w:t>其他位置：不应少于总数的20%</w:t>
      </w:r>
      <w:r>
        <w:rPr>
          <w:rFonts w:hint="eastAsia"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napToGrid w:val="0"/>
        <w:spacing w:line="560" w:lineRule="exact"/>
        <w:ind w:firstLine="1920" w:firstLineChars="6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处时，全数。</w:t>
      </w:r>
    </w:p>
    <w:p>
      <w:pPr>
        <w:keepNext w:val="0"/>
        <w:keepLines w:val="0"/>
        <w:pageBreakBefore w:val="0"/>
        <w:widowControl w:val="0"/>
        <w:kinsoku/>
        <w:wordWrap/>
        <w:overflowPunct/>
        <w:topLinePunct w:val="0"/>
        <w:autoSpaceDE/>
        <w:autoSpaceDN/>
        <w:bidi w:val="0"/>
        <w:adjustRightInd/>
        <w:snapToGrid w:val="0"/>
        <w:spacing w:line="560" w:lineRule="exact"/>
        <w:ind w:left="1598" w:leftChars="304" w:hanging="960" w:hangingChars="3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w:t>
      </w:r>
      <w:r>
        <w:rPr>
          <w:rFonts w:hint="default" w:ascii="Times New Roman" w:hAnsi="Times New Roman" w:eastAsia="仿宋_GB2312" w:cs="Times New Roman"/>
          <w:color w:val="auto"/>
          <w:spacing w:val="-6"/>
          <w:sz w:val="32"/>
          <w:szCs w:val="32"/>
          <w:lang w:val="en-US" w:eastAsia="zh-CN"/>
        </w:rPr>
        <w:t>观察检查、查阅资料。若外部脱离器为低压电涌保护器专用保护装置</w:t>
      </w:r>
      <w:r>
        <w:rPr>
          <w:rFonts w:hint="eastAsia"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lang w:val="en-US" w:eastAsia="zh-CN"/>
        </w:rPr>
        <w:t>SSD</w:t>
      </w:r>
      <w:r>
        <w:rPr>
          <w:rFonts w:hint="eastAsia" w:eastAsia="仿宋_GB2312" w:cs="Times New Roman"/>
          <w:color w:val="auto"/>
          <w:spacing w:val="-6"/>
          <w:sz w:val="32"/>
          <w:szCs w:val="32"/>
          <w:lang w:val="en-US" w:eastAsia="zh-CN"/>
        </w:rPr>
        <w:t>）</w:t>
      </w:r>
      <w:r>
        <w:rPr>
          <w:rFonts w:hint="eastAsia" w:ascii="Times New Roman" w:hAnsi="Times New Roman"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lang w:val="en-US" w:eastAsia="zh-CN"/>
        </w:rPr>
        <w:t>测量其最小瞬时动作电流I</w:t>
      </w:r>
      <w:r>
        <w:rPr>
          <w:rFonts w:hint="default" w:ascii="Times New Roman" w:hAnsi="Times New Roman" w:eastAsia="仿宋_GB2312" w:cs="Times New Roman"/>
          <w:color w:val="auto"/>
          <w:spacing w:val="-6"/>
          <w:sz w:val="32"/>
          <w:szCs w:val="32"/>
          <w:vertAlign w:val="subscript"/>
          <w:lang w:val="en-US" w:eastAsia="zh-CN"/>
        </w:rPr>
        <w:t>i</w:t>
      </w:r>
      <w:r>
        <w:rPr>
          <w:rFonts w:hint="default" w:ascii="Times New Roman" w:hAnsi="Times New Roman" w:eastAsia="仿宋_GB2312" w:cs="Times New Roman"/>
          <w:color w:val="auto"/>
          <w:spacing w:val="-6"/>
          <w:sz w:val="32"/>
          <w:szCs w:val="32"/>
          <w:lang w:val="en-US" w:eastAsia="zh-CN"/>
        </w:rPr>
        <w:t>下的分断时间t</w:t>
      </w:r>
      <w:r>
        <w:rPr>
          <w:rFonts w:hint="default" w:ascii="Times New Roman" w:hAnsi="Times New Roman" w:eastAsia="仿宋_GB2312" w:cs="Times New Roman"/>
          <w:color w:val="auto"/>
          <w:spacing w:val="-6"/>
          <w:sz w:val="32"/>
          <w:szCs w:val="32"/>
          <w:vertAlign w:val="subscript"/>
          <w:lang w:val="en-US" w:eastAsia="zh-CN"/>
        </w:rPr>
        <w:t>o</w:t>
      </w:r>
      <w:r>
        <w:rPr>
          <w:rFonts w:hint="eastAsia" w:ascii="Times New Roman" w:hAnsi="Times New Roman" w:eastAsia="仿宋_GB2312" w:cs="Times New Roman"/>
          <w:color w:val="auto"/>
          <w:spacing w:val="-6"/>
          <w:sz w:val="32"/>
          <w:szCs w:val="32"/>
          <w:lang w:val="en-US" w:eastAsia="zh-CN"/>
        </w:rPr>
        <w:t>，</w:t>
      </w:r>
      <w:r>
        <w:rPr>
          <w:rFonts w:hint="default" w:ascii="Times New Roman" w:hAnsi="Times New Roman" w:eastAsia="仿宋_GB2312" w:cs="Times New Roman"/>
          <w:color w:val="auto"/>
          <w:spacing w:val="-6"/>
          <w:sz w:val="32"/>
          <w:szCs w:val="32"/>
          <w:lang w:val="en-US" w:eastAsia="zh-CN"/>
        </w:rPr>
        <w:t>测量方法应按照</w:t>
      </w:r>
      <w:r>
        <w:rPr>
          <w:rFonts w:hint="default" w:ascii="Times New Roman" w:hAnsi="Times New Roman" w:eastAsia="仿宋_GB2312" w:cs="Times New Roman"/>
          <w:color w:val="auto"/>
          <w:spacing w:val="-6"/>
          <w:kern w:val="2"/>
          <w:sz w:val="32"/>
          <w:szCs w:val="32"/>
          <w:lang w:val="en-US" w:eastAsia="zh-CN" w:bidi="ar-SA"/>
        </w:rPr>
        <w:t>GB/T21431—2023</w:t>
      </w:r>
      <w:r>
        <w:rPr>
          <w:rFonts w:hint="default" w:ascii="Times New Roman" w:hAnsi="Times New Roman" w:eastAsia="仿宋_GB2312" w:cs="Times New Roman"/>
          <w:color w:val="auto"/>
          <w:spacing w:val="-6"/>
          <w:sz w:val="32"/>
          <w:szCs w:val="32"/>
          <w:lang w:val="en-US" w:eastAsia="zh-CN"/>
        </w:rPr>
        <w:t>附录I进行。</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（7）电气连接性能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SPD接地端与等电位导体之间的电气连接情况，</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实测修约值，单位为Ω。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17"/>
          <w:sz w:val="32"/>
          <w:szCs w:val="32"/>
          <w:lang w:val="en-US" w:eastAsia="zh-CN"/>
        </w:rPr>
        <w:t>a</w:t>
      </w:r>
      <w:r>
        <w:rPr>
          <w:rFonts w:hint="eastAsia" w:eastAsia="仿宋_GB2312" w:cs="Times New Roman"/>
          <w:color w:val="auto"/>
          <w:spacing w:val="-17"/>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pacing w:val="0"/>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0"/>
          <w:sz w:val="32"/>
          <w:szCs w:val="32"/>
          <w:lang w:val="en-US" w:eastAsia="zh-CN"/>
        </w:rPr>
        <w:t>其他位置：不应少于总数的20%</w:t>
      </w:r>
      <w:r>
        <w:rPr>
          <w:rFonts w:hint="eastAsia"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napToGrid w:val="0"/>
        <w:spacing w:line="560" w:lineRule="exact"/>
        <w:ind w:firstLine="2240" w:firstLineChars="7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处时，全数。</w:t>
      </w:r>
    </w:p>
    <w:p>
      <w:pPr>
        <w:pStyle w:val="5"/>
        <w:keepNext w:val="0"/>
        <w:keepLines w:val="0"/>
        <w:pageBreakBefore w:val="0"/>
        <w:widowControl w:val="0"/>
        <w:kinsoku/>
        <w:wordWrap/>
        <w:overflowPunct/>
        <w:topLinePunct w:val="0"/>
        <w:autoSpaceDE/>
        <w:autoSpaceDN/>
        <w:bidi w:val="0"/>
        <w:adjustRightInd/>
        <w:spacing w:line="56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来源：测量过渡电阻，测量方法应按照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z w:val="32"/>
          <w:szCs w:val="32"/>
          <w:lang w:val="en-US" w:eastAsia="zh-CN"/>
        </w:rPr>
        <w:t>附</w:t>
      </w:r>
    </w:p>
    <w:p>
      <w:pPr>
        <w:pStyle w:val="5"/>
        <w:keepNext w:val="0"/>
        <w:keepLines w:val="0"/>
        <w:pageBreakBefore w:val="0"/>
        <w:widowControl w:val="0"/>
        <w:kinsoku/>
        <w:wordWrap/>
        <w:overflowPunct/>
        <w:topLinePunct w:val="0"/>
        <w:autoSpaceDE/>
        <w:autoSpaceDN/>
        <w:bidi w:val="0"/>
        <w:adjustRightInd/>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录D进行。</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（8）主要性能参数</w:t>
      </w:r>
    </w:p>
    <w:p>
      <w:pPr>
        <w:keepNext w:val="0"/>
        <w:keepLines w:val="0"/>
        <w:pageBreakBefore w:val="0"/>
        <w:widowControl w:val="0"/>
        <w:kinsoku/>
        <w:wordWrap/>
        <w:overflowPunct/>
        <w:topLinePunct w:val="0"/>
        <w:autoSpaceDE/>
        <w:autoSpaceDN/>
        <w:bidi w:val="0"/>
        <w:adjustRightInd/>
        <w:snapToGrid w:val="0"/>
        <w:spacing w:line="560" w:lineRule="exact"/>
        <w:ind w:firstLine="616" w:firstLineChars="200"/>
        <w:jc w:val="both"/>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pacing w:val="-6"/>
          <w:sz w:val="32"/>
          <w:szCs w:val="32"/>
          <w:lang w:val="en-US" w:eastAsia="zh-CN"/>
        </w:rPr>
        <w:t>最大运行电压U</w:t>
      </w:r>
      <w:r>
        <w:rPr>
          <w:rFonts w:hint="default" w:ascii="Times New Roman" w:hAnsi="Times New Roman" w:eastAsia="仿宋_GB2312" w:cs="Times New Roman"/>
          <w:color w:val="auto"/>
          <w:spacing w:val="-6"/>
          <w:sz w:val="32"/>
          <w:szCs w:val="32"/>
          <w:vertAlign w:val="subscript"/>
          <w:lang w:val="en-US" w:eastAsia="zh-CN"/>
        </w:rPr>
        <w:t>c</w:t>
      </w:r>
      <w:r>
        <w:rPr>
          <w:rFonts w:hint="default" w:ascii="Times New Roman" w:hAnsi="Times New Roman" w:eastAsia="仿宋_GB2312" w:cs="Times New Roman"/>
          <w:color w:val="auto"/>
          <w:spacing w:val="-6"/>
          <w:sz w:val="32"/>
          <w:szCs w:val="32"/>
          <w:lang w:val="en-US" w:eastAsia="zh-CN"/>
        </w:rPr>
        <w:t>；放电电流I</w:t>
      </w:r>
      <w:r>
        <w:rPr>
          <w:rFonts w:hint="default" w:ascii="Times New Roman" w:hAnsi="Times New Roman" w:eastAsia="仿宋_GB2312" w:cs="Times New Roman"/>
          <w:color w:val="auto"/>
          <w:spacing w:val="-6"/>
          <w:sz w:val="32"/>
          <w:szCs w:val="32"/>
          <w:vertAlign w:val="subscript"/>
          <w:lang w:val="en-US" w:eastAsia="zh-CN"/>
        </w:rPr>
        <w:t>imp</w:t>
      </w:r>
      <w:r>
        <w:rPr>
          <w:rFonts w:hint="default" w:ascii="Times New Roman" w:hAnsi="Times New Roman" w:eastAsia="仿宋_GB2312" w:cs="Times New Roman"/>
          <w:color w:val="auto"/>
          <w:spacing w:val="-6"/>
          <w:sz w:val="32"/>
          <w:szCs w:val="32"/>
          <w:lang w:val="en-US" w:eastAsia="zh-CN"/>
        </w:rPr>
        <w:t>或标称放电电流I</w:t>
      </w:r>
      <w:r>
        <w:rPr>
          <w:rFonts w:hint="default" w:ascii="Times New Roman" w:hAnsi="Times New Roman" w:eastAsia="仿宋_GB2312" w:cs="Times New Roman"/>
          <w:color w:val="auto"/>
          <w:spacing w:val="-6"/>
          <w:sz w:val="32"/>
          <w:szCs w:val="32"/>
          <w:vertAlign w:val="subscript"/>
          <w:lang w:val="en-US" w:eastAsia="zh-CN"/>
        </w:rPr>
        <w:t>n</w:t>
      </w:r>
      <w:r>
        <w:rPr>
          <w:rFonts w:hint="default" w:ascii="Times New Roman" w:hAnsi="Times New Roman" w:eastAsia="仿宋_GB2312" w:cs="Times New Roman"/>
          <w:color w:val="auto"/>
          <w:spacing w:val="-6"/>
          <w:sz w:val="32"/>
          <w:szCs w:val="32"/>
          <w:lang w:val="en-US" w:eastAsia="zh-CN"/>
        </w:rPr>
        <w:t>；电压保护水平U</w:t>
      </w:r>
      <w:r>
        <w:rPr>
          <w:rFonts w:hint="default" w:ascii="Times New Roman" w:hAnsi="Times New Roman" w:eastAsia="仿宋_GB2312" w:cs="Times New Roman"/>
          <w:color w:val="auto"/>
          <w:spacing w:val="-6"/>
          <w:sz w:val="32"/>
          <w:szCs w:val="32"/>
          <w:vertAlign w:val="subscript"/>
          <w:lang w:val="en-US" w:eastAsia="zh-CN"/>
        </w:rPr>
        <w:t>p</w:t>
      </w:r>
      <w:r>
        <w:rPr>
          <w:rFonts w:hint="eastAsia" w:eastAsia="仿宋_GB2312" w:cs="Times New Roman"/>
          <w:color w:val="auto"/>
          <w:spacing w:val="-6"/>
          <w:sz w:val="32"/>
          <w:szCs w:val="32"/>
          <w:vertAlign w:val="subscript"/>
          <w:lang w:val="en-US" w:eastAsia="zh-CN"/>
        </w:rPr>
        <w:t>，</w:t>
      </w:r>
      <w:r>
        <w:rPr>
          <w:rFonts w:hint="eastAsia" w:eastAsia="仿宋_GB2312" w:cs="Times New Roman"/>
          <w:color w:val="auto"/>
          <w:spacing w:val="-6"/>
          <w:sz w:val="32"/>
          <w:szCs w:val="32"/>
          <w:lang w:val="en-US" w:eastAsia="zh-CN"/>
        </w:rPr>
        <w:t>填写</w:t>
      </w:r>
      <w:r>
        <w:rPr>
          <w:rFonts w:hint="default" w:ascii="Times New Roman" w:hAnsi="Times New Roman" w:eastAsia="仿宋_GB2312" w:cs="Times New Roman"/>
          <w:color w:val="auto"/>
          <w:spacing w:val="-6"/>
          <w:sz w:val="32"/>
          <w:szCs w:val="32"/>
          <w:lang w:val="en-US" w:eastAsia="zh-CN"/>
        </w:rPr>
        <w:t>具体参数。</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6"/>
          <w:sz w:val="32"/>
          <w:szCs w:val="32"/>
          <w:lang w:val="en-US" w:eastAsia="zh-CN"/>
        </w:rPr>
        <w:t>a</w:t>
      </w:r>
      <w:r>
        <w:rPr>
          <w:rFonts w:hint="eastAsia" w:eastAsia="仿宋_GB2312" w:cs="Times New Roman"/>
          <w:color w:val="auto"/>
          <w:spacing w:val="-17"/>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pacing w:val="0"/>
          <w:sz w:val="32"/>
          <w:szCs w:val="32"/>
          <w:lang w:val="en-US" w:eastAsia="zh-CN"/>
        </w:rPr>
      </w:pPr>
      <w:r>
        <w:rPr>
          <w:rFonts w:hint="eastAsia" w:eastAsia="仿宋_GB2312" w:cs="Times New Roman"/>
          <w:color w:val="auto"/>
          <w:sz w:val="32"/>
          <w:szCs w:val="32"/>
          <w:lang w:val="en-US" w:eastAsia="zh-CN"/>
        </w:rPr>
        <w:t>d）</w:t>
      </w:r>
      <w:r>
        <w:rPr>
          <w:rFonts w:hint="default" w:ascii="Times New Roman" w:hAnsi="Times New Roman" w:eastAsia="仿宋_GB2312" w:cs="Times New Roman"/>
          <w:color w:val="auto"/>
          <w:spacing w:val="0"/>
          <w:sz w:val="32"/>
          <w:szCs w:val="32"/>
          <w:lang w:val="en-US" w:eastAsia="zh-CN"/>
        </w:rPr>
        <w:t>其他位置：不应少于总数的20%</w:t>
      </w:r>
      <w:r>
        <w:rPr>
          <w:rFonts w:hint="eastAsia"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napToGrid w:val="0"/>
        <w:spacing w:line="560" w:lineRule="exact"/>
        <w:ind w:firstLine="1920" w:firstLineChars="6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处时，全数。</w:t>
      </w:r>
    </w:p>
    <w:p>
      <w:pPr>
        <w:pStyle w:val="5"/>
        <w:keepNext w:val="0"/>
        <w:keepLines w:val="0"/>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z w:val="32"/>
          <w:szCs w:val="32"/>
          <w:lang w:val="en-US" w:eastAsia="zh-CN"/>
        </w:rPr>
        <w:t>来源：</w:t>
      </w:r>
      <w:r>
        <w:rPr>
          <w:rFonts w:hint="default" w:ascii="Times New Roman" w:hAnsi="Times New Roman" w:eastAsia="仿宋_GB2312" w:cs="Times New Roman"/>
          <w:color w:val="auto"/>
          <w:spacing w:val="-6"/>
          <w:sz w:val="32"/>
          <w:szCs w:val="32"/>
          <w:lang w:val="en-US" w:eastAsia="zh-CN"/>
        </w:rPr>
        <w:t>浪涌保护器标识铭牌处抄取</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sz w:val="32"/>
          <w:szCs w:val="32"/>
          <w:lang w:val="en-US" w:eastAsia="zh-CN"/>
        </w:rPr>
        <w:t>9</w:t>
      </w:r>
      <w:r>
        <w:rPr>
          <w:rFonts w:hint="default" w:ascii="Times New Roman" w:hAnsi="Times New Roman" w:eastAsia="楷体" w:cs="Times New Roman"/>
          <w:b/>
          <w:bCs/>
          <w:color w:val="auto"/>
          <w:sz w:val="32"/>
          <w:szCs w:val="32"/>
          <w:lang w:eastAsia="zh-CN"/>
        </w:rPr>
        <w:t>）</w:t>
      </w:r>
      <w:r>
        <w:rPr>
          <w:rFonts w:hint="default" w:ascii="Times New Roman" w:hAnsi="Times New Roman" w:eastAsia="楷体" w:cs="Times New Roman"/>
          <w:b/>
          <w:bCs/>
          <w:color w:val="auto"/>
          <w:kern w:val="2"/>
          <w:sz w:val="32"/>
          <w:szCs w:val="32"/>
          <w:lang w:val="en-US" w:eastAsia="zh-CN" w:bidi="ar-SA"/>
        </w:rPr>
        <w:t>压敏电压、泄漏电流、绝缘电阻</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一般4片/组或2片/组，压敏电压值与标称电压Uc的比值</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1.5，泄漏电流I</w:t>
      </w:r>
      <w:r>
        <w:rPr>
          <w:rFonts w:hint="default" w:ascii="Times New Roman" w:hAnsi="Times New Roman" w:eastAsia="仿宋_GB2312" w:cs="Times New Roman"/>
          <w:color w:val="auto"/>
          <w:spacing w:val="0"/>
          <w:sz w:val="21"/>
          <w:szCs w:val="21"/>
        </w:rPr>
        <w:t>ie</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20μA，绝缘电阻Ri</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50MΩ</w:t>
      </w:r>
      <w:r>
        <w:rPr>
          <w:rFonts w:hint="eastAsia" w:eastAsia="仿宋_GB2312" w:cs="Times New Roman"/>
          <w:color w:val="auto"/>
          <w:spacing w:val="0"/>
          <w:sz w:val="32"/>
          <w:szCs w:val="32"/>
          <w:lang w:eastAsia="zh-CN"/>
        </w:rPr>
        <w:t>，判定</w:t>
      </w:r>
      <w:r>
        <w:rPr>
          <w:rFonts w:hint="default" w:ascii="Times New Roman" w:hAnsi="Times New Roman" w:eastAsia="仿宋_GB2312" w:cs="Times New Roman"/>
          <w:color w:val="auto"/>
          <w:spacing w:val="0"/>
          <w:sz w:val="32"/>
          <w:szCs w:val="32"/>
          <w:lang w:val="en-US" w:eastAsia="zh-CN"/>
        </w:rPr>
        <w:t>符合或不符合</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数量：</w:t>
      </w:r>
      <w:r>
        <w:rPr>
          <w:rFonts w:hint="default" w:ascii="Times New Roman" w:hAnsi="Times New Roman" w:eastAsia="仿宋_GB2312" w:cs="Times New Roman"/>
          <w:color w:val="auto"/>
          <w:spacing w:val="-17"/>
          <w:sz w:val="32"/>
          <w:szCs w:val="32"/>
          <w:lang w:val="en-US" w:eastAsia="zh-CN"/>
        </w:rPr>
        <w:t>a</w:t>
      </w:r>
      <w:r>
        <w:rPr>
          <w:rFonts w:hint="eastAsia" w:eastAsia="仿宋_GB2312" w:cs="Times New Roman"/>
          <w:color w:val="auto"/>
          <w:spacing w:val="-17"/>
          <w:sz w:val="32"/>
          <w:szCs w:val="32"/>
          <w:lang w:val="en-US" w:eastAsia="zh-CN"/>
        </w:rPr>
        <w:t>）</w:t>
      </w:r>
      <w:r>
        <w:rPr>
          <w:rFonts w:hint="default" w:ascii="Times New Roman" w:hAnsi="Times New Roman" w:eastAsia="仿宋_GB2312" w:cs="Times New Roman"/>
          <w:color w:val="auto"/>
          <w:spacing w:val="-17"/>
          <w:sz w:val="32"/>
          <w:szCs w:val="32"/>
          <w:lang w:val="en-US" w:eastAsia="zh-CN"/>
        </w:rPr>
        <w:t>采用架空线引入时，在电缆和架空线的连接处：全数；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b）</w:t>
      </w:r>
      <w:r>
        <w:rPr>
          <w:rFonts w:hint="default" w:ascii="Times New Roman" w:hAnsi="Times New Roman" w:eastAsia="仿宋_GB2312" w:cs="Times New Roman"/>
          <w:color w:val="auto"/>
          <w:sz w:val="32"/>
          <w:szCs w:val="32"/>
          <w:lang w:val="en-US" w:eastAsia="zh-CN"/>
        </w:rPr>
        <w:t>总配电箱：全数；</w:t>
      </w:r>
    </w:p>
    <w:p>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c）</w:t>
      </w:r>
      <w:r>
        <w:rPr>
          <w:rFonts w:hint="default" w:ascii="Times New Roman" w:hAnsi="Times New Roman" w:eastAsia="仿宋_GB2312" w:cs="Times New Roman"/>
          <w:color w:val="auto"/>
          <w:sz w:val="32"/>
          <w:szCs w:val="32"/>
          <w:lang w:val="en-US" w:eastAsia="zh-CN"/>
        </w:rPr>
        <w:t>需要防雷电电磁脉冲的电气电子设备处：全数；</w:t>
      </w:r>
    </w:p>
    <w:p>
      <w:pPr>
        <w:keepNext w:val="0"/>
        <w:keepLines w:val="0"/>
        <w:pageBreakBefore w:val="0"/>
        <w:widowControl w:val="0"/>
        <w:kinsoku/>
        <w:wordWrap/>
        <w:overflowPunct/>
        <w:topLinePunct w:val="0"/>
        <w:autoSpaceDE/>
        <w:autoSpaceDN/>
        <w:bidi w:val="0"/>
        <w:adjustRightInd/>
        <w:spacing w:line="560" w:lineRule="exact"/>
        <w:ind w:firstLine="1600" w:firstLineChars="500"/>
        <w:jc w:val="both"/>
        <w:textAlignment w:val="auto"/>
        <w:rPr>
          <w:rFonts w:hint="default" w:ascii="Times New Roman" w:hAnsi="Times New Roman" w:eastAsia="仿宋_GB2312" w:cs="Times New Roman"/>
          <w:color w:val="auto"/>
          <w:spacing w:val="0"/>
          <w:sz w:val="32"/>
          <w:szCs w:val="32"/>
          <w:lang w:val="en-US" w:eastAsia="zh-CN"/>
        </w:rPr>
      </w:pPr>
      <w:r>
        <w:rPr>
          <w:rFonts w:hint="eastAsia" w:eastAsia="仿宋_GB2312" w:cs="Times New Roman"/>
          <w:color w:val="auto"/>
          <w:spacing w:val="0"/>
          <w:sz w:val="32"/>
          <w:szCs w:val="32"/>
          <w:lang w:val="en-US" w:eastAsia="zh-CN"/>
        </w:rPr>
        <w:t>d）</w:t>
      </w:r>
      <w:r>
        <w:rPr>
          <w:rFonts w:hint="default" w:ascii="Times New Roman" w:hAnsi="Times New Roman" w:eastAsia="仿宋_GB2312" w:cs="Times New Roman"/>
          <w:color w:val="auto"/>
          <w:spacing w:val="0"/>
          <w:sz w:val="32"/>
          <w:szCs w:val="32"/>
          <w:lang w:val="en-US" w:eastAsia="zh-CN"/>
        </w:rPr>
        <w:t>其他位置：不应少于总数的20%</w:t>
      </w:r>
      <w:r>
        <w:rPr>
          <w:rFonts w:hint="eastAsia"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lang w:val="en-US" w:eastAsia="zh-CN"/>
        </w:rPr>
        <w:t>当总数少于20</w:t>
      </w:r>
    </w:p>
    <w:p>
      <w:pPr>
        <w:keepNext w:val="0"/>
        <w:keepLines w:val="0"/>
        <w:pageBreakBefore w:val="0"/>
        <w:widowControl w:val="0"/>
        <w:kinsoku/>
        <w:wordWrap/>
        <w:overflowPunct/>
        <w:topLinePunct w:val="0"/>
        <w:autoSpaceDE/>
        <w:autoSpaceDN/>
        <w:bidi w:val="0"/>
        <w:adjustRightInd/>
        <w:spacing w:line="560" w:lineRule="exact"/>
        <w:ind w:firstLine="1920" w:firstLineChars="6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处时，全数。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来源：按照</w:t>
      </w:r>
      <w:r>
        <w:rPr>
          <w:rFonts w:hint="default" w:ascii="Times New Roman" w:hAnsi="Times New Roman" w:eastAsia="仿宋_GB2312" w:cs="Times New Roman"/>
          <w:color w:val="auto"/>
          <w:kern w:val="2"/>
          <w:sz w:val="32"/>
          <w:szCs w:val="32"/>
          <w:lang w:val="en-US" w:eastAsia="zh-CN" w:bidi="ar-SA"/>
        </w:rPr>
        <w:t>GB/T21431—2023</w:t>
      </w:r>
      <w:r>
        <w:rPr>
          <w:rFonts w:hint="default" w:ascii="Times New Roman" w:hAnsi="Times New Roman" w:eastAsia="仿宋_GB2312" w:cs="Times New Roman"/>
          <w:color w:val="auto"/>
          <w:sz w:val="32"/>
          <w:szCs w:val="32"/>
          <w:lang w:val="en-US" w:eastAsia="zh-CN"/>
        </w:rPr>
        <w:t>附录J的测量。</w:t>
      </w:r>
    </w:p>
    <w:p>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（10）进线截面积/长度</w:t>
      </w:r>
    </w:p>
    <w:p>
      <w:pPr>
        <w:keepNext w:val="0"/>
        <w:keepLines w:val="0"/>
        <w:pageBreakBefore w:val="0"/>
        <w:widowControl w:val="0"/>
        <w:kinsoku/>
        <w:wordWrap/>
        <w:overflowPunct/>
        <w:topLinePunct w:val="0"/>
        <w:autoSpaceDE/>
        <w:autoSpaceDN/>
        <w:bidi w:val="0"/>
        <w:adjustRightInd/>
        <w:spacing w:line="560" w:lineRule="exact"/>
        <w:ind w:firstLine="596" w:firstLineChars="200"/>
        <w:jc w:val="both"/>
        <w:textAlignment w:val="auto"/>
        <w:rPr>
          <w:rFonts w:hint="default" w:ascii="Times New Roman" w:hAnsi="Times New Roman" w:eastAsia="仿宋_GB2312" w:cs="Times New Roman"/>
          <w:color w:val="auto"/>
          <w:spacing w:val="-11"/>
          <w:sz w:val="32"/>
          <w:szCs w:val="32"/>
          <w:lang w:val="en-US" w:eastAsia="zh-CN"/>
        </w:rPr>
      </w:pPr>
      <w:r>
        <w:rPr>
          <w:rFonts w:hint="default" w:ascii="Times New Roman" w:hAnsi="Times New Roman" w:eastAsia="仿宋_GB2312" w:cs="Times New Roman"/>
          <w:color w:val="auto"/>
          <w:spacing w:val="-11"/>
          <w:sz w:val="32"/>
          <w:szCs w:val="32"/>
        </w:rPr>
        <w:t>电涌保护器</w:t>
      </w:r>
      <w:r>
        <w:rPr>
          <w:rFonts w:hint="default" w:ascii="Times New Roman" w:hAnsi="Times New Roman" w:eastAsia="仿宋_GB2312" w:cs="Times New Roman"/>
          <w:color w:val="auto"/>
          <w:spacing w:val="-11"/>
          <w:sz w:val="32"/>
          <w:szCs w:val="32"/>
          <w:lang w:val="en-US" w:eastAsia="zh-CN"/>
        </w:rPr>
        <w:t>L1、L2、L3、N</w:t>
      </w:r>
      <w:r>
        <w:rPr>
          <w:rFonts w:hint="default" w:ascii="Times New Roman" w:hAnsi="Times New Roman" w:eastAsia="仿宋_GB2312" w:cs="Times New Roman"/>
          <w:color w:val="auto"/>
          <w:spacing w:val="-11"/>
          <w:sz w:val="32"/>
          <w:szCs w:val="32"/>
        </w:rPr>
        <w:t>接线端连接的铜线截面积</w:t>
      </w:r>
      <w:r>
        <w:rPr>
          <w:rFonts w:hint="default" w:ascii="Times New Roman" w:hAnsi="Times New Roman" w:eastAsia="仿宋_GB2312" w:cs="Times New Roman"/>
          <w:color w:val="auto"/>
          <w:spacing w:val="-11"/>
          <w:sz w:val="32"/>
          <w:szCs w:val="32"/>
          <w:lang w:eastAsia="zh-CN"/>
        </w:rPr>
        <w:t>，</w:t>
      </w: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2.5、4、</w:t>
      </w:r>
      <w:r>
        <w:rPr>
          <w:rFonts w:hint="default" w:ascii="Times New Roman" w:hAnsi="Times New Roman" w:eastAsia="仿宋_GB2312" w:cs="Times New Roman"/>
          <w:color w:val="auto"/>
          <w:spacing w:val="-11"/>
          <w:sz w:val="32"/>
          <w:szCs w:val="32"/>
        </w:rPr>
        <w:t>6、10</w:t>
      </w:r>
      <w:r>
        <w:rPr>
          <w:rFonts w:hint="default"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val="en-US" w:eastAsia="zh-CN"/>
        </w:rPr>
        <w:t>16等，单位为mm</w:t>
      </w:r>
      <w:r>
        <w:rPr>
          <w:rFonts w:hint="default" w:ascii="Times New Roman" w:hAnsi="Times New Roman" w:eastAsia="仿宋_GB2312" w:cs="Times New Roman"/>
          <w:color w:val="auto"/>
          <w:spacing w:val="-11"/>
          <w:sz w:val="32"/>
          <w:szCs w:val="32"/>
          <w:vertAlign w:val="superscript"/>
          <w:lang w:val="en-US" w:eastAsia="zh-CN"/>
        </w:rPr>
        <w:t>2</w:t>
      </w:r>
      <w:r>
        <w:rPr>
          <w:rFonts w:hint="default"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rPr>
        <w:t>连线</w:t>
      </w:r>
      <w:r>
        <w:rPr>
          <w:rFonts w:hint="default" w:ascii="Times New Roman" w:hAnsi="Times New Roman" w:eastAsia="仿宋_GB2312" w:cs="Times New Roman"/>
          <w:color w:val="auto"/>
          <w:spacing w:val="-11"/>
          <w:sz w:val="32"/>
          <w:szCs w:val="32"/>
          <w:lang w:val="en-US" w:eastAsia="zh-CN"/>
        </w:rPr>
        <w:t>长度</w:t>
      </w: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实测长度</w:t>
      </w:r>
      <w:r>
        <w:rPr>
          <w:rFonts w:hint="eastAsia" w:ascii="Times New Roman" w:hAnsi="Times New Roman"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单位为m</w:t>
      </w:r>
      <w:r>
        <w:rPr>
          <w:rFonts w:hint="default" w:ascii="Times New Roman" w:hAnsi="Times New Roman" w:eastAsia="仿宋_GB2312" w:cs="Times New Roman"/>
          <w:color w:val="auto"/>
          <w:spacing w:val="-11"/>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（11）PE线截面/长度</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电涌保护器接</w:t>
      </w:r>
      <w:r>
        <w:rPr>
          <w:rFonts w:hint="default" w:ascii="Times New Roman" w:hAnsi="Times New Roman" w:eastAsia="仿宋_GB2312" w:cs="Times New Roman"/>
          <w:color w:val="auto"/>
          <w:sz w:val="32"/>
          <w:szCs w:val="32"/>
          <w:lang w:val="en-US" w:eastAsia="zh-CN"/>
        </w:rPr>
        <w:t>地</w:t>
      </w:r>
      <w:r>
        <w:rPr>
          <w:rFonts w:hint="default" w:ascii="Times New Roman" w:hAnsi="Times New Roman" w:eastAsia="仿宋_GB2312" w:cs="Times New Roman"/>
          <w:color w:val="auto"/>
          <w:sz w:val="32"/>
          <w:szCs w:val="32"/>
        </w:rPr>
        <w:t>端连接的铜线截面积</w:t>
      </w:r>
      <w:r>
        <w:rPr>
          <w:rFonts w:hint="default" w:ascii="Times New Roman" w:hAnsi="Times New Roman" w:eastAsia="仿宋_GB2312" w:cs="Times New Roman"/>
          <w:color w:val="auto"/>
          <w:sz w:val="32"/>
          <w:szCs w:val="32"/>
          <w:lang w:eastAsia="zh-CN"/>
        </w:rPr>
        <w:t>，</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2.5、4、</w:t>
      </w:r>
      <w:r>
        <w:rPr>
          <w:rFonts w:hint="default" w:ascii="Times New Roman" w:hAnsi="Times New Roman" w:eastAsia="仿宋_GB2312" w:cs="Times New Roman"/>
          <w:color w:val="auto"/>
          <w:sz w:val="32"/>
          <w:szCs w:val="32"/>
        </w:rPr>
        <w:t>6、10</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16等，单位为mm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连线长度</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实测长度</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单位为m</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firstLine="599" w:firstLineChars="200"/>
        <w:jc w:val="left"/>
        <w:textAlignment w:val="auto"/>
        <w:rPr>
          <w:rFonts w:hint="default" w:ascii="Times New Roman" w:hAnsi="Times New Roman" w:eastAsia="楷体" w:cs="Times New Roman"/>
          <w:b/>
          <w:bCs/>
          <w:color w:val="auto"/>
          <w:spacing w:val="-11"/>
          <w:kern w:val="2"/>
          <w:sz w:val="32"/>
          <w:szCs w:val="32"/>
          <w:lang w:val="en-US" w:eastAsia="zh-CN" w:bidi="ar-SA"/>
        </w:rPr>
      </w:pPr>
      <w:r>
        <w:rPr>
          <w:rFonts w:hint="default" w:ascii="Times New Roman" w:hAnsi="Times New Roman" w:eastAsia="楷体" w:cs="Times New Roman"/>
          <w:b/>
          <w:bCs/>
          <w:color w:val="auto"/>
          <w:spacing w:val="-11"/>
          <w:kern w:val="2"/>
          <w:sz w:val="32"/>
          <w:szCs w:val="32"/>
          <w:lang w:val="en-US" w:eastAsia="zh-CN" w:bidi="ar-SA"/>
        </w:rPr>
        <w:t>（12）信号浪涌保护器</w:t>
      </w:r>
    </w:p>
    <w:p>
      <w:pPr>
        <w:keepNext w:val="0"/>
        <w:keepLines w:val="0"/>
        <w:pageBreakBefore w:val="0"/>
        <w:widowControl w:val="0"/>
        <w:kinsoku/>
        <w:wordWrap/>
        <w:overflowPunct/>
        <w:topLinePunct w:val="0"/>
        <w:autoSpaceDE/>
        <w:autoSpaceDN/>
        <w:bidi w:val="0"/>
        <w:adjustRightInd/>
        <w:spacing w:line="560" w:lineRule="exact"/>
        <w:ind w:firstLine="596" w:firstLineChars="200"/>
        <w:jc w:val="left"/>
        <w:textAlignment w:val="auto"/>
        <w:rPr>
          <w:rFonts w:hint="default" w:ascii="Times New Roman" w:hAnsi="Times New Roman" w:eastAsia="仿宋_GB2312" w:cs="Times New Roman"/>
          <w:color w:val="auto"/>
          <w:spacing w:val="-11"/>
          <w:sz w:val="32"/>
          <w:szCs w:val="32"/>
          <w:lang w:val="en-US" w:eastAsia="zh-CN"/>
        </w:rPr>
      </w:pP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使用本表，不涉及的参数</w:t>
      </w:r>
      <w:r>
        <w:rPr>
          <w:rFonts w:hint="eastAsia" w:eastAsia="仿宋_GB2312" w:cs="Times New Roman"/>
          <w:color w:val="auto"/>
          <w:spacing w:val="-11"/>
          <w:sz w:val="32"/>
          <w:szCs w:val="32"/>
          <w:lang w:val="en-US" w:eastAsia="zh-CN"/>
        </w:rPr>
        <w:t>填写</w:t>
      </w:r>
      <w:r>
        <w:rPr>
          <w:rFonts w:hint="default" w:ascii="Times New Roman" w:hAnsi="Times New Roman" w:eastAsia="仿宋_GB2312" w:cs="Times New Roman"/>
          <w:color w:val="auto"/>
          <w:spacing w:val="-11"/>
          <w:sz w:val="32"/>
          <w:szCs w:val="32"/>
          <w:lang w:val="en-US" w:eastAsia="zh-CN"/>
        </w:rPr>
        <w:t>“</w:t>
      </w:r>
      <w:r>
        <w:rPr>
          <w:rFonts w:hint="eastAsia" w:eastAsia="仿宋_GB2312" w:cs="Times New Roman"/>
          <w:color w:val="auto"/>
          <w:spacing w:val="-11"/>
          <w:sz w:val="32"/>
          <w:szCs w:val="32"/>
          <w:lang w:val="en-US" w:eastAsia="zh-CN"/>
        </w:rPr>
        <w:t>－</w:t>
      </w:r>
      <w:r>
        <w:rPr>
          <w:rFonts w:hint="default" w:ascii="Times New Roman" w:hAnsi="Times New Roman" w:eastAsia="仿宋_GB2312" w:cs="Times New Roman"/>
          <w:color w:val="auto"/>
          <w:spacing w:val="-11"/>
          <w:sz w:val="32"/>
          <w:szCs w:val="32"/>
          <w:lang w:val="en-US" w:eastAsia="zh-CN"/>
        </w:rPr>
        <w:t>”。</w:t>
      </w:r>
    </w:p>
    <w:p>
      <w:pPr>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br w:type="page"/>
      </w:r>
    </w:p>
    <w:p>
      <w:pPr>
        <w:keepNext w:val="0"/>
        <w:keepLines w:val="0"/>
        <w:pageBreakBefore w:val="0"/>
        <w:kinsoku/>
        <w:wordWrap/>
        <w:overflowPunct/>
        <w:topLinePunct w:val="0"/>
        <w:bidi w:val="0"/>
        <w:adjustRightInd/>
        <w:spacing w:line="360" w:lineRule="auto"/>
        <w:ind w:firstLine="640" w:firstLineChars="200"/>
        <w:textAlignment w:val="auto"/>
        <w:rPr>
          <w:rFonts w:hint="default" w:ascii="Times New Roman" w:hAnsi="Times New Roman" w:eastAsia="楷体" w:cs="Times New Roman"/>
          <w:color w:val="auto"/>
          <w:sz w:val="32"/>
          <w:szCs w:val="32"/>
          <w:lang w:val="en-US" w:eastAsia="zh-CN"/>
        </w:rPr>
      </w:pPr>
      <w:r>
        <w:rPr>
          <w:rFonts w:hint="default" w:ascii="Times New Roman" w:hAnsi="Times New Roman" w:eastAsia="楷体" w:cs="Times New Roman"/>
          <w:color w:val="auto"/>
          <w:sz w:val="32"/>
          <w:szCs w:val="32"/>
          <w:lang w:val="en-US" w:eastAsia="zh-CN"/>
        </w:rPr>
        <w:t>示例：</w:t>
      </w:r>
      <w:r>
        <w:rPr>
          <w:rFonts w:hint="eastAsia" w:ascii="Times New Roman" w:hAnsi="Times New Roman" w:eastAsia="楷体" w:cs="Times New Roman"/>
          <w:color w:val="auto"/>
          <w:sz w:val="32"/>
          <w:szCs w:val="32"/>
          <w:lang w:val="en-US" w:eastAsia="zh-CN"/>
        </w:rPr>
        <w:t>浪涌保护器（SPD）</w:t>
      </w:r>
    </w:p>
    <w:tbl>
      <w:tblPr>
        <w:tblStyle w:val="17"/>
        <w:tblW w:w="986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1"/>
        <w:gridCol w:w="1086"/>
        <w:gridCol w:w="1247"/>
        <w:gridCol w:w="737"/>
        <w:gridCol w:w="613"/>
        <w:gridCol w:w="496"/>
        <w:gridCol w:w="521"/>
        <w:gridCol w:w="522"/>
        <w:gridCol w:w="603"/>
        <w:gridCol w:w="597"/>
        <w:gridCol w:w="690"/>
        <w:gridCol w:w="784"/>
        <w:gridCol w:w="702"/>
        <w:gridCol w:w="7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9868" w:type="dxa"/>
            <w:gridSpan w:val="14"/>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11"/>
                <w:kern w:val="0"/>
                <w:szCs w:val="21"/>
              </w:rPr>
              <w:t>电涌保护器</w:t>
            </w:r>
            <w:r>
              <w:rPr>
                <w:rFonts w:hint="default" w:ascii="Times New Roman" w:hAnsi="Times New Roman" w:cs="Times New Roman"/>
                <w:color w:val="auto"/>
                <w:spacing w:val="-11"/>
                <w:kern w:val="0"/>
                <w:szCs w:val="21"/>
                <w:lang w:eastAsia="zh-CN"/>
              </w:rPr>
              <w:t>（</w:t>
            </w:r>
            <w:r>
              <w:rPr>
                <w:rFonts w:hint="default" w:ascii="Times New Roman" w:hAnsi="Times New Roman" w:cs="Times New Roman"/>
                <w:color w:val="auto"/>
                <w:spacing w:val="-11"/>
                <w:kern w:val="0"/>
                <w:szCs w:val="21"/>
                <w:lang w:val="en-US" w:eastAsia="zh-CN"/>
              </w:rPr>
              <w:t>SPD</w:t>
            </w:r>
            <w:r>
              <w:rPr>
                <w:rFonts w:hint="default" w:ascii="Times New Roman" w:hAnsi="Times New Roman" w:cs="Times New Roman"/>
                <w:color w:val="auto"/>
                <w:spacing w:val="-11"/>
                <w:kern w:val="0"/>
                <w:szCs w:val="21"/>
                <w:lang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Align w:val="center"/>
          </w:tcPr>
          <w:p>
            <w:pPr>
              <w:kinsoku/>
              <w:overflowPunct/>
              <w:autoSpaceDE/>
              <w:autoSpaceDN/>
              <w:adjustRightInd/>
              <w:spacing w:line="280" w:lineRule="exact"/>
              <w:jc w:val="center"/>
              <w:rPr>
                <w:rFonts w:hint="default" w:ascii="Times New Roman" w:hAnsi="Times New Roman" w:eastAsia="宋体" w:cs="Times New Roman"/>
                <w:b w:val="0"/>
                <w:bCs w:val="0"/>
                <w:color w:val="auto"/>
                <w:spacing w:val="-34"/>
                <w:kern w:val="2"/>
                <w:sz w:val="21"/>
                <w:szCs w:val="21"/>
                <w:lang w:val="en-US" w:eastAsia="zh-CN" w:bidi="ar-SA"/>
              </w:rPr>
            </w:pPr>
            <w:r>
              <w:rPr>
                <w:rFonts w:hint="default" w:ascii="Times New Roman" w:hAnsi="Times New Roman" w:cs="Times New Roman"/>
                <w:b w:val="0"/>
                <w:bCs w:val="0"/>
                <w:color w:val="auto"/>
                <w:spacing w:val="-34"/>
                <w:szCs w:val="21"/>
                <w:lang w:val="en-US" w:eastAsia="zh-CN"/>
              </w:rPr>
              <w:t>编号</w:t>
            </w:r>
          </w:p>
        </w:tc>
        <w:tc>
          <w:tcPr>
            <w:tcW w:w="2333" w:type="dxa"/>
            <w:gridSpan w:val="2"/>
            <w:vAlign w:val="center"/>
          </w:tcPr>
          <w:p>
            <w:pPr>
              <w:spacing w:line="28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Cs w:val="21"/>
                <w:lang w:val="en-US" w:eastAsia="zh-CN"/>
              </w:rPr>
              <w:t>检测内容</w:t>
            </w:r>
          </w:p>
        </w:tc>
        <w:tc>
          <w:tcPr>
            <w:tcW w:w="3492" w:type="dxa"/>
            <w:gridSpan w:val="6"/>
            <w:vAlign w:val="center"/>
          </w:tcPr>
          <w:p>
            <w:pPr>
              <w:spacing w:line="28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Cs w:val="21"/>
                <w:lang w:eastAsia="zh-CN"/>
              </w:rPr>
              <w:t>判定标准及要点</w:t>
            </w:r>
          </w:p>
        </w:tc>
        <w:tc>
          <w:tcPr>
            <w:tcW w:w="2071" w:type="dxa"/>
            <w:gridSpan w:val="3"/>
            <w:vAlign w:val="center"/>
          </w:tcPr>
          <w:p>
            <w:pPr>
              <w:spacing w:line="3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Cs w:val="21"/>
                <w:lang w:val="en-US" w:eastAsia="zh-CN"/>
              </w:rPr>
              <w:t>检测结果</w:t>
            </w:r>
          </w:p>
        </w:tc>
        <w:tc>
          <w:tcPr>
            <w:tcW w:w="1421" w:type="dxa"/>
            <w:gridSpan w:val="2"/>
            <w:vAlign w:val="center"/>
          </w:tcPr>
          <w:p>
            <w:pPr>
              <w:spacing w:line="28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cs="Times New Roman"/>
                <w:b w:val="0"/>
                <w:bCs w:val="0"/>
                <w:color w:val="auto"/>
                <w:szCs w:val="21"/>
                <w:lang w:val="en-US" w:eastAsia="zh-CN"/>
              </w:rPr>
              <w:t>判定结论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restart"/>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49</w:t>
            </w:r>
          </w:p>
        </w:tc>
        <w:tc>
          <w:tcPr>
            <w:tcW w:w="2333" w:type="dxa"/>
            <w:gridSpan w:val="2"/>
            <w:vMerge w:val="restart"/>
            <w:vAlign w:val="center"/>
          </w:tcPr>
          <w:p>
            <w:pPr>
              <w:spacing w:line="280" w:lineRule="exact"/>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b w:val="0"/>
                <w:bCs w:val="0"/>
                <w:color w:val="auto"/>
                <w:sz w:val="21"/>
                <w:szCs w:val="21"/>
                <w:lang w:val="en-US" w:eastAsia="zh-CN"/>
              </w:rPr>
              <w:t>布置</w:t>
            </w:r>
          </w:p>
        </w:tc>
        <w:tc>
          <w:tcPr>
            <w:tcW w:w="3492" w:type="dxa"/>
            <w:gridSpan w:val="6"/>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总配电箱</w:t>
            </w:r>
          </w:p>
        </w:tc>
        <w:tc>
          <w:tcPr>
            <w:tcW w:w="2071" w:type="dxa"/>
            <w:gridSpan w:val="3"/>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eastAsia" w:ascii="宋体" w:hAnsi="宋体" w:eastAsia="宋体" w:cs="宋体"/>
                <w:color w:val="auto"/>
                <w:szCs w:val="21"/>
                <w:lang w:val="en-US" w:eastAsia="zh-CN"/>
              </w:rPr>
              <w:t>Ⅰ</w:t>
            </w:r>
            <w:r>
              <w:rPr>
                <w:rFonts w:hint="eastAsia" w:cs="Times New Roman"/>
                <w:color w:val="auto"/>
                <w:szCs w:val="21"/>
                <w:lang w:val="en-US" w:eastAsia="zh-CN"/>
              </w:rPr>
              <w:t>类试验3套</w:t>
            </w:r>
          </w:p>
        </w:tc>
        <w:tc>
          <w:tcPr>
            <w:tcW w:w="1421" w:type="dxa"/>
            <w:gridSpan w:val="2"/>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p>
        </w:tc>
        <w:tc>
          <w:tcPr>
            <w:tcW w:w="2333" w:type="dxa"/>
            <w:gridSpan w:val="2"/>
            <w:vMerge w:val="continue"/>
            <w:vAlign w:val="center"/>
          </w:tcPr>
          <w:p>
            <w:pPr>
              <w:spacing w:line="280" w:lineRule="exact"/>
              <w:jc w:val="center"/>
              <w:rPr>
                <w:rFonts w:hint="default" w:ascii="Times New Roman" w:hAnsi="Times New Roman" w:eastAsia="宋体" w:cs="Times New Roman"/>
                <w:b w:val="0"/>
                <w:bCs w:val="0"/>
                <w:color w:val="auto"/>
                <w:sz w:val="21"/>
                <w:szCs w:val="21"/>
                <w:lang w:val="en-US" w:eastAsia="zh-CN"/>
              </w:rPr>
            </w:pPr>
          </w:p>
        </w:tc>
        <w:tc>
          <w:tcPr>
            <w:tcW w:w="3492" w:type="dxa"/>
            <w:gridSpan w:val="6"/>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电气电子设备处</w:t>
            </w:r>
          </w:p>
        </w:tc>
        <w:tc>
          <w:tcPr>
            <w:tcW w:w="2071" w:type="dxa"/>
            <w:gridSpan w:val="3"/>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宋体" w:hAnsi="宋体" w:eastAsia="宋体" w:cs="宋体"/>
                <w:color w:val="auto"/>
                <w:szCs w:val="21"/>
                <w:lang w:val="en-US" w:eastAsia="zh-CN"/>
              </w:rPr>
              <w:t>Ⅱ类试验</w:t>
            </w:r>
            <w:r>
              <w:rPr>
                <w:rFonts w:hint="eastAsia" w:ascii="宋体" w:hAnsi="宋体" w:eastAsia="宋体" w:cs="宋体"/>
                <w:color w:val="auto"/>
                <w:szCs w:val="21"/>
                <w:lang w:val="en-US" w:eastAsia="zh-CN"/>
              </w:rPr>
              <w:t>20套</w:t>
            </w:r>
          </w:p>
        </w:tc>
        <w:tc>
          <w:tcPr>
            <w:tcW w:w="1421" w:type="dxa"/>
            <w:gridSpan w:val="2"/>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p>
        </w:tc>
        <w:tc>
          <w:tcPr>
            <w:tcW w:w="2333" w:type="dxa"/>
            <w:gridSpan w:val="2"/>
            <w:vMerge w:val="continue"/>
            <w:vAlign w:val="center"/>
          </w:tcPr>
          <w:p>
            <w:pPr>
              <w:spacing w:line="280" w:lineRule="exact"/>
              <w:jc w:val="center"/>
              <w:rPr>
                <w:rFonts w:hint="default" w:ascii="Times New Roman" w:hAnsi="Times New Roman" w:eastAsia="宋体" w:cs="Times New Roman"/>
                <w:b w:val="0"/>
                <w:bCs w:val="0"/>
                <w:color w:val="auto"/>
                <w:sz w:val="21"/>
                <w:szCs w:val="21"/>
                <w:lang w:val="en-US" w:eastAsia="zh-CN"/>
              </w:rPr>
            </w:pPr>
          </w:p>
        </w:tc>
        <w:tc>
          <w:tcPr>
            <w:tcW w:w="3492" w:type="dxa"/>
            <w:gridSpan w:val="6"/>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架空线引入、其他位置</w:t>
            </w:r>
          </w:p>
        </w:tc>
        <w:tc>
          <w:tcPr>
            <w:tcW w:w="2071" w:type="dxa"/>
            <w:gridSpan w:val="3"/>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c>
          <w:tcPr>
            <w:tcW w:w="1421" w:type="dxa"/>
            <w:gridSpan w:val="2"/>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551" w:type="dxa"/>
            <w:vMerge w:val="restart"/>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50</w:t>
            </w:r>
          </w:p>
        </w:tc>
        <w:tc>
          <w:tcPr>
            <w:tcW w:w="2333" w:type="dxa"/>
            <w:gridSpan w:val="2"/>
            <w:vMerge w:val="restart"/>
            <w:vAlign w:val="center"/>
          </w:tcPr>
          <w:p>
            <w:pPr>
              <w:spacing w:line="280" w:lineRule="exact"/>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rPr>
              <w:t>防护级数和级间配合</w:t>
            </w:r>
          </w:p>
        </w:tc>
        <w:tc>
          <w:tcPr>
            <w:tcW w:w="3492" w:type="dxa"/>
            <w:gridSpan w:val="6"/>
            <w:vAlign w:val="center"/>
          </w:tcPr>
          <w:p>
            <w:pPr>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GB/T 21431-2023</w:t>
            </w:r>
            <w:r>
              <w:rPr>
                <w:rFonts w:hint="default" w:ascii="Times New Roman" w:hAnsi="Times New Roman"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5.5.6.6</w:t>
            </w:r>
          </w:p>
        </w:tc>
        <w:tc>
          <w:tcPr>
            <w:tcW w:w="2071" w:type="dxa"/>
            <w:gridSpan w:val="3"/>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2级/级间距离＞10m</w:t>
            </w:r>
          </w:p>
        </w:tc>
        <w:tc>
          <w:tcPr>
            <w:tcW w:w="1421" w:type="dxa"/>
            <w:gridSpan w:val="2"/>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2333" w:type="dxa"/>
            <w:gridSpan w:val="2"/>
            <w:vMerge w:val="continue"/>
            <w:vAlign w:val="center"/>
          </w:tcPr>
          <w:p>
            <w:pPr>
              <w:spacing w:line="280" w:lineRule="exact"/>
              <w:jc w:val="center"/>
              <w:rPr>
                <w:rFonts w:hint="default" w:ascii="Times New Roman" w:hAnsi="Times New Roman" w:eastAsia="宋体" w:cs="Times New Roman"/>
                <w:color w:val="auto"/>
                <w:kern w:val="0"/>
                <w:szCs w:val="21"/>
              </w:rPr>
            </w:pPr>
          </w:p>
        </w:tc>
        <w:tc>
          <w:tcPr>
            <w:tcW w:w="3492" w:type="dxa"/>
            <w:gridSpan w:val="6"/>
            <w:vAlign w:val="center"/>
          </w:tcPr>
          <w:p>
            <w:pPr>
              <w:spacing w:line="320" w:lineRule="exact"/>
              <w:jc w:val="center"/>
              <w:rPr>
                <w:rFonts w:hint="default" w:ascii="Times New Roman" w:hAnsi="Times New Roman" w:eastAsia="宋体" w:cs="Times New Roman"/>
                <w:bCs/>
                <w:caps/>
                <w:color w:val="auto"/>
                <w:kern w:val="2"/>
                <w:sz w:val="21"/>
                <w:szCs w:val="21"/>
                <w:lang w:val="en-US" w:eastAsia="zh-CN" w:bidi="ar-SA"/>
              </w:rPr>
            </w:pPr>
            <w:r>
              <w:rPr>
                <w:rFonts w:hint="default" w:ascii="Times New Roman" w:hAnsi="Times New Roman" w:eastAsia="宋体" w:cs="Times New Roman"/>
                <w:bCs/>
                <w:caps/>
                <w:color w:val="auto"/>
                <w:sz w:val="21"/>
                <w:szCs w:val="21"/>
              </w:rPr>
              <w:t>供电制式</w:t>
            </w:r>
          </w:p>
        </w:tc>
        <w:tc>
          <w:tcPr>
            <w:tcW w:w="2071" w:type="dxa"/>
            <w:gridSpan w:val="3"/>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TN-S</w:t>
            </w:r>
          </w:p>
        </w:tc>
        <w:tc>
          <w:tcPr>
            <w:tcW w:w="1421" w:type="dxa"/>
            <w:gridSpan w:val="2"/>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462" w:hRule="atLeast"/>
          <w:jc w:val="center"/>
        </w:trPr>
        <w:tc>
          <w:tcPr>
            <w:tcW w:w="551" w:type="dxa"/>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编号</w:t>
            </w:r>
          </w:p>
        </w:tc>
        <w:tc>
          <w:tcPr>
            <w:tcW w:w="1086" w:type="dxa"/>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检查内容</w:t>
            </w:r>
          </w:p>
        </w:tc>
        <w:tc>
          <w:tcPr>
            <w:tcW w:w="1247" w:type="dxa"/>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检查结果</w:t>
            </w:r>
          </w:p>
        </w:tc>
        <w:tc>
          <w:tcPr>
            <w:tcW w:w="737" w:type="dxa"/>
            <w:vAlign w:val="center"/>
          </w:tcPr>
          <w:p>
            <w:pPr>
              <w:kinsoku/>
              <w:overflowPunct/>
              <w:spacing w:line="240" w:lineRule="exact"/>
              <w:jc w:val="center"/>
              <w:rPr>
                <w:rFonts w:hint="default" w:ascii="Times New Roman" w:hAnsi="Times New Roman" w:cs="Times New Roman"/>
                <w:color w:val="auto"/>
                <w:spacing w:val="0"/>
                <w:kern w:val="2"/>
                <w:sz w:val="18"/>
                <w:szCs w:val="18"/>
                <w:lang w:val="en-US" w:eastAsia="zh-CN"/>
              </w:rPr>
            </w:pPr>
            <w:r>
              <w:rPr>
                <w:rFonts w:hint="default" w:ascii="Times New Roman" w:hAnsi="Times New Roman" w:cs="Times New Roman"/>
                <w:color w:val="auto"/>
                <w:spacing w:val="0"/>
                <w:kern w:val="2"/>
                <w:sz w:val="18"/>
                <w:szCs w:val="18"/>
                <w:lang w:val="en-US" w:eastAsia="zh-CN"/>
              </w:rPr>
              <w:t>电气连接性能</w:t>
            </w:r>
          </w:p>
          <w:p>
            <w:pPr>
              <w:kinsoku/>
              <w:overflowPunct/>
              <w:spacing w:line="240" w:lineRule="exact"/>
              <w:jc w:val="center"/>
              <w:rPr>
                <w:rFonts w:hint="default" w:ascii="Times New Roman" w:hAnsi="Times New Roman" w:eastAsia="宋体" w:cs="Times New Roman"/>
                <w:color w:val="auto"/>
                <w:spacing w:val="0"/>
                <w:kern w:val="2"/>
                <w:sz w:val="18"/>
                <w:szCs w:val="18"/>
                <w:lang w:val="en-US" w:eastAsia="zh-CN" w:bidi="ar-SA"/>
              </w:rPr>
            </w:pPr>
            <w:r>
              <w:rPr>
                <w:rFonts w:hint="default" w:ascii="Times New Roman" w:hAnsi="Times New Roman" w:cs="Times New Roman"/>
                <w:color w:val="auto"/>
                <w:spacing w:val="-17"/>
                <w:kern w:val="2"/>
                <w:sz w:val="18"/>
                <w:szCs w:val="18"/>
                <w:lang w:val="en-US" w:eastAsia="zh-CN"/>
              </w:rPr>
              <w:t>（Ω）</w:t>
            </w:r>
          </w:p>
        </w:tc>
        <w:tc>
          <w:tcPr>
            <w:tcW w:w="613" w:type="dxa"/>
            <w:vAlign w:val="center"/>
          </w:tcPr>
          <w:p>
            <w:pPr>
              <w:kinsoku/>
              <w:overflowPunct/>
              <w:spacing w:line="240" w:lineRule="exact"/>
              <w:jc w:val="both"/>
              <w:rPr>
                <w:rFonts w:hint="default" w:ascii="Times New Roman" w:hAnsi="Times New Roman" w:cs="Times New Roman"/>
                <w:color w:val="auto"/>
                <w:spacing w:val="-11"/>
                <w:kern w:val="2"/>
                <w:sz w:val="13"/>
                <w:szCs w:val="13"/>
                <w:lang w:val="en-US" w:eastAsia="zh-CN"/>
              </w:rPr>
            </w:pPr>
            <w:r>
              <w:rPr>
                <w:rFonts w:hint="default" w:ascii="Times New Roman" w:hAnsi="Times New Roman" w:cs="Times New Roman"/>
                <w:color w:val="auto"/>
                <w:spacing w:val="-11"/>
                <w:kern w:val="2"/>
                <w:sz w:val="18"/>
                <w:szCs w:val="18"/>
                <w:lang w:val="en-US" w:eastAsia="zh-CN"/>
              </w:rPr>
              <w:t>a:I</w:t>
            </w:r>
            <w:r>
              <w:rPr>
                <w:rFonts w:hint="default" w:ascii="Times New Roman" w:hAnsi="Times New Roman" w:cs="Times New Roman"/>
                <w:color w:val="auto"/>
                <w:spacing w:val="-11"/>
                <w:kern w:val="2"/>
                <w:sz w:val="13"/>
                <w:szCs w:val="13"/>
                <w:lang w:val="en-US" w:eastAsia="zh-CN"/>
              </w:rPr>
              <w:t>imp</w:t>
            </w:r>
          </w:p>
          <w:p>
            <w:pPr>
              <w:kinsoku/>
              <w:overflowPunct/>
              <w:spacing w:line="240" w:lineRule="exact"/>
              <w:jc w:val="both"/>
              <w:rPr>
                <w:rFonts w:hint="default" w:ascii="Times New Roman" w:hAnsi="Times New Roman" w:cs="Times New Roman"/>
                <w:color w:val="auto"/>
                <w:spacing w:val="-11"/>
                <w:kern w:val="2"/>
                <w:sz w:val="18"/>
                <w:szCs w:val="18"/>
                <w:lang w:val="en-US" w:eastAsia="zh-CN"/>
              </w:rPr>
            </w:pPr>
            <w:r>
              <w:rPr>
                <w:rFonts w:hint="default" w:ascii="Times New Roman" w:hAnsi="Times New Roman" w:cs="Times New Roman"/>
                <w:color w:val="auto"/>
                <w:spacing w:val="-11"/>
                <w:kern w:val="2"/>
                <w:sz w:val="18"/>
                <w:szCs w:val="18"/>
                <w:lang w:val="en-US" w:eastAsia="zh-CN"/>
              </w:rPr>
              <w:t>b:I</w:t>
            </w:r>
            <w:r>
              <w:rPr>
                <w:rFonts w:hint="default" w:ascii="Times New Roman" w:hAnsi="Times New Roman" w:cs="Times New Roman"/>
                <w:color w:val="auto"/>
                <w:spacing w:val="-11"/>
                <w:kern w:val="2"/>
                <w:sz w:val="15"/>
                <w:szCs w:val="15"/>
                <w:lang w:val="en-US" w:eastAsia="zh-CN"/>
              </w:rPr>
              <w:t>n</w:t>
            </w:r>
          </w:p>
          <w:p>
            <w:pPr>
              <w:kinsoku/>
              <w:overflowPunct/>
              <w:spacing w:line="240" w:lineRule="exact"/>
              <w:jc w:val="center"/>
              <w:rPr>
                <w:rFonts w:hint="default" w:ascii="Times New Roman" w:hAnsi="Times New Roman" w:eastAsia="宋体" w:cs="Times New Roman"/>
                <w:color w:val="auto"/>
                <w:spacing w:val="-11"/>
                <w:kern w:val="2"/>
                <w:sz w:val="18"/>
                <w:szCs w:val="18"/>
                <w:lang w:val="en-US" w:eastAsia="zh-CN" w:bidi="ar-SA"/>
              </w:rPr>
            </w:pPr>
            <w:r>
              <w:rPr>
                <w:rFonts w:hint="default" w:ascii="Times New Roman" w:hAnsi="Times New Roman" w:cs="Times New Roman"/>
                <w:color w:val="auto"/>
                <w:spacing w:val="-11"/>
                <w:kern w:val="2"/>
                <w:sz w:val="18"/>
                <w:szCs w:val="18"/>
                <w:lang w:val="en-US" w:eastAsia="zh-CN"/>
              </w:rPr>
              <w:t>（kA）</w:t>
            </w:r>
          </w:p>
        </w:tc>
        <w:tc>
          <w:tcPr>
            <w:tcW w:w="496" w:type="dxa"/>
            <w:vAlign w:val="center"/>
          </w:tcPr>
          <w:p>
            <w:pPr>
              <w:kinsoku/>
              <w:overflowPunct/>
              <w:spacing w:line="240" w:lineRule="exact"/>
              <w:jc w:val="center"/>
              <w:rPr>
                <w:rFonts w:hint="default" w:ascii="Times New Roman" w:hAnsi="Times New Roman" w:cs="Times New Roman"/>
                <w:color w:val="auto"/>
                <w:spacing w:val="-34"/>
                <w:kern w:val="2"/>
                <w:sz w:val="18"/>
                <w:szCs w:val="18"/>
                <w:lang w:val="en-US" w:eastAsia="zh-CN"/>
              </w:rPr>
            </w:pPr>
            <w:r>
              <w:rPr>
                <w:rFonts w:hint="default" w:ascii="Times New Roman" w:hAnsi="Times New Roman" w:cs="Times New Roman"/>
                <w:color w:val="auto"/>
                <w:spacing w:val="-34"/>
                <w:kern w:val="2"/>
                <w:sz w:val="18"/>
                <w:szCs w:val="18"/>
                <w:lang w:val="en-US" w:eastAsia="zh-CN"/>
              </w:rPr>
              <w:t>Uc</w:t>
            </w:r>
          </w:p>
          <w:p>
            <w:pPr>
              <w:kinsoku/>
              <w:overflowPunct/>
              <w:spacing w:line="240" w:lineRule="exact"/>
              <w:jc w:val="center"/>
              <w:rPr>
                <w:rFonts w:hint="default" w:ascii="Times New Roman" w:hAnsi="Times New Roman" w:eastAsia="宋体" w:cs="Times New Roman"/>
                <w:color w:val="auto"/>
                <w:spacing w:val="-34"/>
                <w:kern w:val="2"/>
                <w:sz w:val="18"/>
                <w:szCs w:val="18"/>
                <w:lang w:val="en-US" w:eastAsia="zh-CN" w:bidi="ar-SA"/>
              </w:rPr>
            </w:pPr>
            <w:r>
              <w:rPr>
                <w:rFonts w:hint="default" w:ascii="Times New Roman" w:hAnsi="Times New Roman" w:cs="Times New Roman"/>
                <w:color w:val="auto"/>
                <w:spacing w:val="-23"/>
                <w:kern w:val="2"/>
                <w:sz w:val="18"/>
                <w:szCs w:val="18"/>
                <w:lang w:val="en-US" w:eastAsia="zh-CN"/>
              </w:rPr>
              <w:t>（V）</w:t>
            </w:r>
          </w:p>
        </w:tc>
        <w:tc>
          <w:tcPr>
            <w:tcW w:w="521" w:type="dxa"/>
            <w:vAlign w:val="center"/>
          </w:tcPr>
          <w:p>
            <w:pPr>
              <w:kinsoku/>
              <w:overflowPunct/>
              <w:spacing w:line="240" w:lineRule="exact"/>
              <w:jc w:val="center"/>
              <w:rPr>
                <w:rFonts w:hint="default" w:ascii="Times New Roman" w:hAnsi="Times New Roman" w:cs="Times New Roman"/>
                <w:color w:val="auto"/>
                <w:spacing w:val="-34"/>
                <w:kern w:val="2"/>
                <w:sz w:val="18"/>
                <w:szCs w:val="18"/>
                <w:lang w:val="en-US" w:eastAsia="zh-CN"/>
              </w:rPr>
            </w:pPr>
            <w:r>
              <w:rPr>
                <w:rFonts w:hint="default" w:ascii="Times New Roman" w:hAnsi="Times New Roman" w:cs="Times New Roman"/>
                <w:color w:val="auto"/>
                <w:spacing w:val="-34"/>
                <w:kern w:val="2"/>
                <w:sz w:val="18"/>
                <w:szCs w:val="18"/>
                <w:lang w:val="en-US" w:eastAsia="zh-CN"/>
              </w:rPr>
              <w:t>Up</w:t>
            </w:r>
          </w:p>
          <w:p>
            <w:pPr>
              <w:kinsoku/>
              <w:overflowPunct/>
              <w:spacing w:line="240" w:lineRule="exact"/>
              <w:jc w:val="center"/>
              <w:rPr>
                <w:rFonts w:hint="default" w:ascii="Times New Roman" w:hAnsi="Times New Roman" w:eastAsia="宋体" w:cs="Times New Roman"/>
                <w:color w:val="auto"/>
                <w:spacing w:val="-34"/>
                <w:kern w:val="2"/>
                <w:sz w:val="18"/>
                <w:szCs w:val="18"/>
                <w:lang w:val="en-US" w:eastAsia="zh-CN" w:bidi="ar-SA"/>
              </w:rPr>
            </w:pPr>
            <w:r>
              <w:rPr>
                <w:rFonts w:hint="default" w:ascii="Times New Roman" w:hAnsi="Times New Roman" w:cs="Times New Roman"/>
                <w:color w:val="auto"/>
                <w:spacing w:val="-23"/>
                <w:kern w:val="2"/>
                <w:sz w:val="18"/>
                <w:szCs w:val="18"/>
                <w:lang w:val="en-US" w:eastAsia="zh-CN"/>
              </w:rPr>
              <w:t>（kV）</w:t>
            </w:r>
          </w:p>
        </w:tc>
        <w:tc>
          <w:tcPr>
            <w:tcW w:w="522" w:type="dxa"/>
            <w:vAlign w:val="center"/>
          </w:tcPr>
          <w:p>
            <w:pPr>
              <w:kinsoku/>
              <w:overflowPunct/>
              <w:spacing w:line="240" w:lineRule="exact"/>
              <w:jc w:val="center"/>
              <w:rPr>
                <w:rFonts w:hint="default" w:ascii="Times New Roman" w:hAnsi="Times New Roman" w:cs="Times New Roman"/>
                <w:color w:val="auto"/>
                <w:spacing w:val="0"/>
                <w:kern w:val="2"/>
                <w:sz w:val="18"/>
                <w:szCs w:val="18"/>
                <w:lang w:val="en-US" w:eastAsia="zh-CN"/>
              </w:rPr>
            </w:pPr>
            <w:r>
              <w:rPr>
                <w:rFonts w:hint="default" w:ascii="Times New Roman" w:hAnsi="Times New Roman" w:cs="Times New Roman"/>
                <w:color w:val="auto"/>
                <w:spacing w:val="0"/>
                <w:kern w:val="2"/>
                <w:sz w:val="18"/>
                <w:szCs w:val="18"/>
                <w:lang w:val="en-US" w:eastAsia="zh-CN"/>
              </w:rPr>
              <w:t>检</w:t>
            </w:r>
          </w:p>
          <w:p>
            <w:pPr>
              <w:kinsoku/>
              <w:overflowPunct/>
              <w:spacing w:line="240" w:lineRule="exact"/>
              <w:jc w:val="center"/>
              <w:rPr>
                <w:rFonts w:hint="default" w:ascii="Times New Roman" w:hAnsi="Times New Roman" w:cs="Times New Roman"/>
                <w:color w:val="auto"/>
                <w:spacing w:val="0"/>
                <w:kern w:val="2"/>
                <w:sz w:val="18"/>
                <w:szCs w:val="18"/>
                <w:lang w:val="en-US" w:eastAsia="zh-CN"/>
              </w:rPr>
            </w:pPr>
            <w:r>
              <w:rPr>
                <w:rFonts w:hint="default" w:ascii="Times New Roman" w:hAnsi="Times New Roman" w:cs="Times New Roman"/>
                <w:color w:val="auto"/>
                <w:spacing w:val="0"/>
                <w:kern w:val="2"/>
                <w:sz w:val="18"/>
                <w:szCs w:val="18"/>
                <w:lang w:val="en-US" w:eastAsia="zh-CN"/>
              </w:rPr>
              <w:t>测</w:t>
            </w:r>
          </w:p>
          <w:p>
            <w:pPr>
              <w:kinsoku/>
              <w:overflowPunct/>
              <w:spacing w:line="240" w:lineRule="exact"/>
              <w:jc w:val="center"/>
              <w:rPr>
                <w:rFonts w:hint="default" w:ascii="Times New Roman" w:hAnsi="Times New Roman" w:cs="Times New Roman"/>
                <w:color w:val="auto"/>
                <w:spacing w:val="0"/>
                <w:kern w:val="2"/>
                <w:sz w:val="18"/>
                <w:szCs w:val="18"/>
                <w:lang w:val="en-US" w:eastAsia="zh-CN"/>
              </w:rPr>
            </w:pPr>
            <w:r>
              <w:rPr>
                <w:rFonts w:hint="default" w:ascii="Times New Roman" w:hAnsi="Times New Roman" w:cs="Times New Roman"/>
                <w:color w:val="auto"/>
                <w:spacing w:val="0"/>
                <w:kern w:val="2"/>
                <w:sz w:val="18"/>
                <w:szCs w:val="18"/>
                <w:lang w:val="en-US" w:eastAsia="zh-CN"/>
              </w:rPr>
              <w:t>对</w:t>
            </w:r>
          </w:p>
          <w:p>
            <w:pPr>
              <w:kinsoku/>
              <w:overflowPunct/>
              <w:spacing w:line="240" w:lineRule="exact"/>
              <w:jc w:val="center"/>
              <w:rPr>
                <w:rFonts w:hint="default" w:ascii="Times New Roman" w:hAnsi="Times New Roman" w:eastAsia="宋体" w:cs="Times New Roman"/>
                <w:color w:val="auto"/>
                <w:spacing w:val="0"/>
                <w:kern w:val="2"/>
                <w:sz w:val="18"/>
                <w:szCs w:val="18"/>
                <w:lang w:val="en-US" w:eastAsia="zh-CN" w:bidi="ar-SA"/>
              </w:rPr>
            </w:pPr>
            <w:r>
              <w:rPr>
                <w:rFonts w:hint="default" w:ascii="Times New Roman" w:hAnsi="Times New Roman" w:cs="Times New Roman"/>
                <w:color w:val="auto"/>
                <w:spacing w:val="0"/>
                <w:kern w:val="2"/>
                <w:sz w:val="18"/>
                <w:szCs w:val="18"/>
                <w:lang w:val="en-US" w:eastAsia="zh-CN"/>
              </w:rPr>
              <w:t>象</w:t>
            </w:r>
          </w:p>
        </w:tc>
        <w:tc>
          <w:tcPr>
            <w:tcW w:w="603" w:type="dxa"/>
            <w:vAlign w:val="center"/>
          </w:tcPr>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压敏</w:t>
            </w:r>
          </w:p>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电压</w:t>
            </w:r>
          </w:p>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(V)</w:t>
            </w:r>
          </w:p>
        </w:tc>
        <w:tc>
          <w:tcPr>
            <w:tcW w:w="597" w:type="dxa"/>
            <w:vAlign w:val="center"/>
          </w:tcPr>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泄漏</w:t>
            </w:r>
          </w:p>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电流</w:t>
            </w:r>
          </w:p>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pacing w:val="-11"/>
                <w:sz w:val="18"/>
                <w:szCs w:val="18"/>
              </w:rPr>
              <w:t>(μA)</w:t>
            </w:r>
          </w:p>
        </w:tc>
        <w:tc>
          <w:tcPr>
            <w:tcW w:w="690" w:type="dxa"/>
            <w:vAlign w:val="center"/>
          </w:tcPr>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绝缘</w:t>
            </w:r>
          </w:p>
          <w:p>
            <w:pPr>
              <w:spacing w:line="240" w:lineRule="exact"/>
              <w:jc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电阻</w:t>
            </w:r>
          </w:p>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sz w:val="18"/>
                <w:szCs w:val="18"/>
              </w:rPr>
              <w:t>(MΩ)</w:t>
            </w:r>
          </w:p>
        </w:tc>
        <w:tc>
          <w:tcPr>
            <w:tcW w:w="784" w:type="dxa"/>
            <w:vAlign w:val="center"/>
          </w:tcPr>
          <w:p>
            <w:pPr>
              <w:spacing w:line="240" w:lineRule="exact"/>
              <w:jc w:val="center"/>
              <w:rPr>
                <w:rFonts w:hint="default" w:ascii="Times New Roman" w:hAnsi="Times New Roman" w:eastAsia="宋体" w:cs="Times New Roman"/>
                <w:color w:val="auto"/>
                <w:spacing w:val="-6"/>
                <w:sz w:val="18"/>
                <w:szCs w:val="18"/>
              </w:rPr>
            </w:pPr>
            <w:r>
              <w:rPr>
                <w:rFonts w:hint="default" w:ascii="Times New Roman" w:hAnsi="Times New Roman" w:eastAsia="宋体" w:cs="Times New Roman"/>
                <w:color w:val="auto"/>
                <w:spacing w:val="-6"/>
                <w:sz w:val="18"/>
                <w:szCs w:val="18"/>
              </w:rPr>
              <w:t>进线</w:t>
            </w:r>
          </w:p>
          <w:p>
            <w:pPr>
              <w:spacing w:line="240" w:lineRule="exact"/>
              <w:jc w:val="center"/>
              <w:rPr>
                <w:rFonts w:hint="default" w:ascii="Times New Roman" w:hAnsi="Times New Roman" w:eastAsia="宋体" w:cs="Times New Roman"/>
                <w:color w:val="auto"/>
                <w:spacing w:val="-17"/>
                <w:kern w:val="2"/>
                <w:sz w:val="18"/>
                <w:szCs w:val="18"/>
                <w:lang w:val="en-US" w:eastAsia="zh-CN" w:bidi="ar-SA"/>
              </w:rPr>
            </w:pPr>
            <w:r>
              <w:rPr>
                <w:rFonts w:hint="default" w:ascii="Times New Roman" w:hAnsi="Times New Roman" w:eastAsia="宋体" w:cs="Times New Roman"/>
                <w:color w:val="auto"/>
                <w:spacing w:val="-6"/>
                <w:sz w:val="18"/>
                <w:szCs w:val="18"/>
              </w:rPr>
              <w:t>(截面积mm</w:t>
            </w:r>
            <w:r>
              <w:rPr>
                <w:rFonts w:hint="default" w:ascii="Times New Roman" w:hAnsi="Times New Roman" w:eastAsia="宋体" w:cs="Times New Roman"/>
                <w:color w:val="auto"/>
                <w:spacing w:val="-6"/>
                <w:sz w:val="18"/>
                <w:szCs w:val="18"/>
                <w:vertAlign w:val="superscript"/>
              </w:rPr>
              <w:t>2</w:t>
            </w:r>
            <w:r>
              <w:rPr>
                <w:rFonts w:hint="default" w:ascii="Times New Roman" w:hAnsi="Times New Roman" w:eastAsia="宋体" w:cs="Times New Roman"/>
                <w:color w:val="auto"/>
                <w:spacing w:val="-6"/>
                <w:sz w:val="18"/>
                <w:szCs w:val="18"/>
              </w:rPr>
              <w:t>/长度</w:t>
            </w:r>
            <w:r>
              <w:rPr>
                <w:rFonts w:hint="default" w:ascii="Times New Roman" w:hAnsi="Times New Roman" w:eastAsia="宋体" w:cs="Times New Roman"/>
                <w:color w:val="auto"/>
                <w:spacing w:val="-6"/>
                <w:sz w:val="18"/>
                <w:szCs w:val="18"/>
                <w:lang w:val="en-US" w:eastAsia="zh-CN"/>
              </w:rPr>
              <w:t>m</w:t>
            </w:r>
            <w:r>
              <w:rPr>
                <w:rFonts w:hint="default" w:ascii="Times New Roman" w:hAnsi="Times New Roman" w:eastAsia="宋体" w:cs="Times New Roman"/>
                <w:color w:val="auto"/>
                <w:spacing w:val="-6"/>
                <w:sz w:val="18"/>
                <w:szCs w:val="18"/>
              </w:rPr>
              <w:t>)</w:t>
            </w:r>
          </w:p>
        </w:tc>
        <w:tc>
          <w:tcPr>
            <w:tcW w:w="702" w:type="dxa"/>
            <w:vAlign w:val="center"/>
          </w:tcPr>
          <w:p>
            <w:pPr>
              <w:spacing w:line="240" w:lineRule="exact"/>
              <w:jc w:val="center"/>
              <w:rPr>
                <w:rFonts w:hint="default" w:ascii="Times New Roman" w:hAnsi="Times New Roman" w:eastAsia="宋体" w:cs="Times New Roman"/>
                <w:color w:val="auto"/>
                <w:spacing w:val="-6"/>
                <w:sz w:val="18"/>
                <w:szCs w:val="18"/>
                <w:lang w:eastAsia="zh-CN"/>
              </w:rPr>
            </w:pPr>
            <w:r>
              <w:rPr>
                <w:rFonts w:hint="default" w:ascii="Times New Roman" w:hAnsi="Times New Roman" w:cs="Times New Roman"/>
                <w:color w:val="auto"/>
                <w:spacing w:val="-6"/>
                <w:sz w:val="18"/>
                <w:szCs w:val="18"/>
                <w:lang w:eastAsia="zh-CN"/>
              </w:rPr>
              <w:t>PE线</w:t>
            </w:r>
          </w:p>
          <w:p>
            <w:pPr>
              <w:spacing w:line="240" w:lineRule="exact"/>
              <w:jc w:val="center"/>
              <w:rPr>
                <w:rFonts w:hint="default" w:ascii="Times New Roman" w:hAnsi="Times New Roman" w:eastAsia="宋体" w:cs="Times New Roman"/>
                <w:color w:val="auto"/>
                <w:spacing w:val="-17"/>
                <w:kern w:val="2"/>
                <w:sz w:val="18"/>
                <w:szCs w:val="18"/>
                <w:lang w:val="en-US" w:eastAsia="zh-CN" w:bidi="ar-SA"/>
              </w:rPr>
            </w:pPr>
            <w:r>
              <w:rPr>
                <w:rFonts w:hint="default" w:ascii="Times New Roman" w:hAnsi="Times New Roman" w:eastAsia="宋体" w:cs="Times New Roman"/>
                <w:color w:val="auto"/>
                <w:spacing w:val="-6"/>
                <w:sz w:val="18"/>
                <w:szCs w:val="18"/>
              </w:rPr>
              <w:t>(截面积mm</w:t>
            </w:r>
            <w:r>
              <w:rPr>
                <w:rFonts w:hint="default" w:ascii="Times New Roman" w:hAnsi="Times New Roman" w:eastAsia="宋体" w:cs="Times New Roman"/>
                <w:color w:val="auto"/>
                <w:spacing w:val="-6"/>
                <w:sz w:val="18"/>
                <w:szCs w:val="18"/>
                <w:vertAlign w:val="superscript"/>
              </w:rPr>
              <w:t>2</w:t>
            </w:r>
            <w:r>
              <w:rPr>
                <w:rFonts w:hint="default" w:ascii="Times New Roman" w:hAnsi="Times New Roman" w:eastAsia="宋体" w:cs="Times New Roman"/>
                <w:color w:val="auto"/>
                <w:spacing w:val="-6"/>
                <w:sz w:val="18"/>
                <w:szCs w:val="18"/>
              </w:rPr>
              <w:t>/长度</w:t>
            </w:r>
            <w:r>
              <w:rPr>
                <w:rFonts w:hint="default" w:ascii="Times New Roman" w:hAnsi="Times New Roman" w:eastAsia="宋体" w:cs="Times New Roman"/>
                <w:color w:val="auto"/>
                <w:spacing w:val="-6"/>
                <w:sz w:val="18"/>
                <w:szCs w:val="18"/>
                <w:lang w:val="en-US" w:eastAsia="zh-CN"/>
              </w:rPr>
              <w:t>m</w:t>
            </w:r>
            <w:r>
              <w:rPr>
                <w:rFonts w:hint="default" w:ascii="Times New Roman" w:hAnsi="Times New Roman" w:eastAsia="宋体" w:cs="Times New Roman"/>
                <w:color w:val="auto"/>
                <w:spacing w:val="-6"/>
                <w:sz w:val="18"/>
                <w:szCs w:val="18"/>
              </w:rPr>
              <w:t>)</w:t>
            </w:r>
          </w:p>
        </w:tc>
        <w:tc>
          <w:tcPr>
            <w:tcW w:w="719" w:type="dxa"/>
            <w:vAlign w:val="center"/>
          </w:tcPr>
          <w:p>
            <w:pPr>
              <w:spacing w:line="24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cs="Times New Roman"/>
                <w:b w:val="0"/>
                <w:bCs w:val="0"/>
                <w:color w:val="auto"/>
                <w:sz w:val="18"/>
                <w:szCs w:val="18"/>
                <w:lang w:val="en-US" w:eastAsia="zh-CN"/>
              </w:rPr>
              <w:t>判定结论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restart"/>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1</w:t>
            </w:r>
          </w:p>
        </w:tc>
        <w:tc>
          <w:tcPr>
            <w:tcW w:w="1086" w:type="dxa"/>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位置</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401进线柜</w:t>
            </w:r>
          </w:p>
        </w:tc>
        <w:tc>
          <w:tcPr>
            <w:tcW w:w="737"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pacing w:val="-11"/>
                <w:sz w:val="21"/>
                <w:szCs w:val="21"/>
                <w:lang w:val="en-US" w:eastAsia="zh-CN"/>
              </w:rPr>
              <w:t>0.05</w:t>
            </w:r>
          </w:p>
        </w:tc>
        <w:tc>
          <w:tcPr>
            <w:tcW w:w="613" w:type="dxa"/>
            <w:vMerge w:val="restart"/>
            <w:vAlign w:val="center"/>
          </w:tcPr>
          <w:p>
            <w:pPr>
              <w:spacing w:line="320" w:lineRule="exact"/>
              <w:jc w:val="center"/>
              <w:rPr>
                <w:rFonts w:hint="default" w:ascii="Times New Roman" w:hAnsi="Times New Roman" w:eastAsia="宋体" w:cs="Times New Roman"/>
                <w:bCs/>
                <w:color w:val="auto"/>
                <w:sz w:val="21"/>
                <w:szCs w:val="21"/>
              </w:rPr>
            </w:pPr>
            <w:r>
              <w:rPr>
                <w:rFonts w:hint="default" w:ascii="Times New Roman" w:hAnsi="Times New Roman" w:cs="Times New Roman"/>
                <w:bCs/>
                <w:color w:val="auto"/>
                <w:sz w:val="21"/>
                <w:szCs w:val="21"/>
                <w:lang w:eastAsia="zh-CN"/>
              </w:rPr>
              <w:t>☑</w:t>
            </w:r>
            <w:r>
              <w:rPr>
                <w:rFonts w:hint="default" w:ascii="Times New Roman" w:hAnsi="Times New Roman" w:eastAsia="宋体" w:cs="Times New Roman"/>
                <w:bCs/>
                <w:color w:val="auto"/>
                <w:sz w:val="21"/>
                <w:szCs w:val="21"/>
              </w:rPr>
              <w:t>a</w:t>
            </w:r>
          </w:p>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bCs/>
                <w:color w:val="auto"/>
                <w:sz w:val="21"/>
                <w:szCs w:val="21"/>
              </w:rPr>
              <w:t>□b</w:t>
            </w:r>
          </w:p>
        </w:tc>
        <w:tc>
          <w:tcPr>
            <w:tcW w:w="496"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275</w:t>
            </w:r>
          </w:p>
        </w:tc>
        <w:tc>
          <w:tcPr>
            <w:tcW w:w="521"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2.0</w:t>
            </w: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L1</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val="en-US" w:eastAsia="zh-CN"/>
              </w:rPr>
              <w:t>/</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10</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16</w:t>
            </w:r>
          </w:p>
        </w:tc>
        <w:tc>
          <w:tcPr>
            <w:tcW w:w="719" w:type="dxa"/>
            <w:vAlign w:val="center"/>
          </w:tcPr>
          <w:p>
            <w:pPr>
              <w:spacing w:line="240" w:lineRule="exact"/>
              <w:jc w:val="cente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型号</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ZH275</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L2</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spacing w:line="240" w:lineRule="exact"/>
              <w:jc w:val="cente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vAlign w:val="center"/>
          </w:tcPr>
          <w:p>
            <w:pPr>
              <w:spacing w:line="28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外观</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正常</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25</w:t>
            </w: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L3</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0.2</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0.2</w:t>
            </w:r>
          </w:p>
        </w:tc>
        <w:tc>
          <w:tcPr>
            <w:tcW w:w="719" w:type="dxa"/>
            <w:vAlign w:val="center"/>
          </w:tcPr>
          <w:p>
            <w:pPr>
              <w:spacing w:line="240" w:lineRule="exact"/>
              <w:jc w:val="cente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vAlign w:val="center"/>
          </w:tcPr>
          <w:p>
            <w:pPr>
              <w:spacing w:line="28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3"/>
                <w:sz w:val="21"/>
                <w:szCs w:val="21"/>
                <w:lang w:val="en-US" w:eastAsia="zh-CN"/>
              </w:rPr>
              <w:t>外部脱离器</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熔断器25A</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N</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spacing w:line="240" w:lineRule="exact"/>
              <w:jc w:val="center"/>
              <w:rPr>
                <w:rFonts w:hint="default" w:ascii="Times New Roman" w:hAnsi="Times New Roman"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551" w:type="dxa"/>
            <w:vMerge w:val="restart"/>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r>
              <w:rPr>
                <w:rFonts w:hint="default" w:ascii="Times New Roman" w:hAnsi="Times New Roman" w:cs="Times New Roman"/>
                <w:color w:val="auto"/>
                <w:kern w:val="0"/>
                <w:szCs w:val="21"/>
                <w:lang w:val="en-US" w:eastAsia="zh-CN"/>
              </w:rPr>
              <w:t>2</w:t>
            </w: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位置</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pacing w:val="1"/>
                <w:w w:val="83"/>
                <w:kern w:val="0"/>
                <w:szCs w:val="21"/>
                <w:fitText w:val="945" w:id="0"/>
                <w:lang w:val="en-US" w:eastAsia="zh-CN"/>
              </w:rPr>
              <w:t>8FDL配电</w:t>
            </w:r>
            <w:r>
              <w:rPr>
                <w:rFonts w:hint="default" w:ascii="Times New Roman" w:hAnsi="Times New Roman" w:cs="Times New Roman"/>
                <w:color w:val="auto"/>
                <w:spacing w:val="0"/>
                <w:w w:val="83"/>
                <w:kern w:val="0"/>
                <w:szCs w:val="21"/>
                <w:fitText w:val="945" w:id="0"/>
                <w:lang w:val="en-US" w:eastAsia="zh-CN"/>
              </w:rPr>
              <w:t>箱</w:t>
            </w:r>
          </w:p>
        </w:tc>
        <w:tc>
          <w:tcPr>
            <w:tcW w:w="737"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pacing w:val="-11"/>
                <w:sz w:val="21"/>
                <w:szCs w:val="21"/>
                <w:lang w:val="en-US" w:eastAsia="zh-CN"/>
              </w:rPr>
              <w:t>0.14</w:t>
            </w:r>
          </w:p>
        </w:tc>
        <w:tc>
          <w:tcPr>
            <w:tcW w:w="613" w:type="dxa"/>
            <w:vMerge w:val="restart"/>
            <w:vAlign w:val="center"/>
          </w:tcPr>
          <w:p>
            <w:pPr>
              <w:spacing w:line="320" w:lineRule="exact"/>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a</w:t>
            </w:r>
          </w:p>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Cs/>
                <w:color w:val="auto"/>
                <w:sz w:val="21"/>
                <w:szCs w:val="21"/>
                <w:lang w:eastAsia="zh-CN"/>
              </w:rPr>
              <w:t>☑</w:t>
            </w:r>
            <w:r>
              <w:rPr>
                <w:rFonts w:hint="default" w:ascii="Times New Roman" w:hAnsi="Times New Roman" w:eastAsia="宋体" w:cs="Times New Roman"/>
                <w:bCs/>
                <w:color w:val="auto"/>
                <w:sz w:val="21"/>
                <w:szCs w:val="21"/>
              </w:rPr>
              <w:t>b</w:t>
            </w:r>
          </w:p>
        </w:tc>
        <w:tc>
          <w:tcPr>
            <w:tcW w:w="496"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420</w:t>
            </w:r>
          </w:p>
        </w:tc>
        <w:tc>
          <w:tcPr>
            <w:tcW w:w="521"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2.0</w:t>
            </w: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L1</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675</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2.9</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200</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10</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型号</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ZH1C40</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L2</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671</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2.4</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198</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外观</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正常</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40</w:t>
            </w: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L3</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669</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1.2</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rPr>
            </w:pPr>
            <w:r>
              <w:rPr>
                <w:rFonts w:hint="default" w:ascii="Times New Roman" w:hAnsi="Times New Roman" w:cs="Times New Roman"/>
                <w:color w:val="auto"/>
                <w:szCs w:val="21"/>
                <w:lang w:val="en-US" w:eastAsia="zh-CN"/>
              </w:rPr>
              <w:t>201</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0.15</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0.3</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23"/>
                <w:sz w:val="21"/>
                <w:szCs w:val="21"/>
                <w:lang w:val="en-US" w:eastAsia="zh-CN"/>
              </w:rPr>
              <w:t>外部脱离器</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空开C40</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N</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677</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3.1</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202</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551" w:type="dxa"/>
            <w:vMerge w:val="restart"/>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r>
              <w:rPr>
                <w:rFonts w:hint="default" w:ascii="Times New Roman" w:hAnsi="Times New Roman" w:cs="Times New Roman"/>
                <w:color w:val="auto"/>
                <w:kern w:val="0"/>
                <w:szCs w:val="21"/>
                <w:lang w:val="en-US" w:eastAsia="zh-CN"/>
              </w:rPr>
              <w:t>3</w:t>
            </w: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位置</w:t>
            </w:r>
          </w:p>
        </w:tc>
        <w:tc>
          <w:tcPr>
            <w:tcW w:w="1247" w:type="dxa"/>
            <w:shd w:val="clear" w:color="auto" w:fill="auto"/>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pacing w:val="1"/>
                <w:w w:val="74"/>
                <w:kern w:val="0"/>
                <w:sz w:val="21"/>
                <w:szCs w:val="21"/>
                <w:fitText w:val="945" w:id="1"/>
                <w:lang w:val="en-US" w:eastAsia="zh-CN"/>
              </w:rPr>
              <w:t>8F机房配电</w:t>
            </w:r>
            <w:r>
              <w:rPr>
                <w:rFonts w:hint="default" w:ascii="Times New Roman" w:hAnsi="Times New Roman" w:cs="Times New Roman"/>
                <w:color w:val="auto"/>
                <w:spacing w:val="0"/>
                <w:w w:val="74"/>
                <w:kern w:val="0"/>
                <w:sz w:val="21"/>
                <w:szCs w:val="21"/>
                <w:fitText w:val="945" w:id="1"/>
                <w:lang w:val="en-US" w:eastAsia="zh-CN"/>
              </w:rPr>
              <w:t>箱</w:t>
            </w:r>
          </w:p>
        </w:tc>
        <w:tc>
          <w:tcPr>
            <w:tcW w:w="737"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pacing w:val="-11"/>
                <w:sz w:val="21"/>
                <w:szCs w:val="21"/>
                <w:lang w:val="en-US" w:eastAsia="zh-CN"/>
              </w:rPr>
              <w:t>0.18</w:t>
            </w:r>
          </w:p>
        </w:tc>
        <w:tc>
          <w:tcPr>
            <w:tcW w:w="613" w:type="dxa"/>
            <w:vMerge w:val="restart"/>
            <w:vAlign w:val="center"/>
          </w:tcPr>
          <w:p>
            <w:pPr>
              <w:spacing w:line="320" w:lineRule="exact"/>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a</w:t>
            </w:r>
          </w:p>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Cs/>
                <w:color w:val="auto"/>
                <w:sz w:val="21"/>
                <w:szCs w:val="21"/>
                <w:lang w:eastAsia="zh-CN"/>
              </w:rPr>
              <w:t>☑</w:t>
            </w:r>
            <w:r>
              <w:rPr>
                <w:rFonts w:hint="default" w:ascii="Times New Roman" w:hAnsi="Times New Roman" w:eastAsia="宋体" w:cs="Times New Roman"/>
                <w:bCs/>
                <w:color w:val="auto"/>
                <w:sz w:val="21"/>
                <w:szCs w:val="21"/>
              </w:rPr>
              <w:t>b</w:t>
            </w:r>
          </w:p>
        </w:tc>
        <w:tc>
          <w:tcPr>
            <w:tcW w:w="496"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320</w:t>
            </w:r>
          </w:p>
        </w:tc>
        <w:tc>
          <w:tcPr>
            <w:tcW w:w="521"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1.8</w:t>
            </w: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L1</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980</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21</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98</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4</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cs="Times New Roman"/>
                <w:b w:val="0"/>
                <w:bCs w:val="0"/>
                <w:color w:val="auto"/>
                <w:spacing w:val="-17"/>
                <w:sz w:val="18"/>
                <w:szCs w:val="18"/>
                <w:lang w:val="en-US" w:eastAsia="zh-CN"/>
              </w:rPr>
            </w:pPr>
            <w:r>
              <w:rPr>
                <w:rFonts w:hint="default" w:ascii="Times New Roman" w:hAnsi="Times New Roman" w:cs="Times New Roman"/>
                <w:b w:val="0"/>
                <w:bCs w:val="0"/>
                <w:color w:val="auto"/>
                <w:spacing w:val="-17"/>
                <w:sz w:val="18"/>
                <w:szCs w:val="18"/>
                <w:lang w:val="en-US" w:eastAsia="zh-CN"/>
              </w:rPr>
              <w:t>不符合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型号</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ZH1C40</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L2</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895</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22</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rPr>
            </w:pPr>
            <w:r>
              <w:rPr>
                <w:rFonts w:hint="default" w:ascii="Times New Roman" w:hAnsi="Times New Roman" w:cs="Times New Roman"/>
                <w:color w:val="auto"/>
                <w:szCs w:val="21"/>
                <w:lang w:val="en-US" w:eastAsia="zh-CN"/>
              </w:rPr>
              <w:t>100</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cs="Times New Roman"/>
                <w:b w:val="0"/>
                <w:bCs w:val="0"/>
                <w:color w:val="auto"/>
                <w:spacing w:val="-17"/>
                <w:sz w:val="18"/>
                <w:szCs w:val="18"/>
                <w:lang w:val="en-US" w:eastAsia="zh-CN"/>
              </w:rPr>
            </w:pPr>
            <w:r>
              <w:rPr>
                <w:rFonts w:hint="default" w:ascii="Times New Roman" w:hAnsi="Times New Roman" w:cs="Times New Roman"/>
                <w:b w:val="0"/>
                <w:bCs w:val="0"/>
                <w:color w:val="auto"/>
                <w:spacing w:val="-17"/>
                <w:sz w:val="18"/>
                <w:szCs w:val="18"/>
                <w:lang w:val="en-US" w:eastAsia="zh-CN"/>
              </w:rPr>
              <w:t>不符合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外观</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不正常</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20</w:t>
            </w: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L3</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789</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50</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rPr>
            </w:pPr>
            <w:r>
              <w:rPr>
                <w:rFonts w:hint="default" w:ascii="Times New Roman" w:hAnsi="Times New Roman" w:cs="Times New Roman"/>
                <w:color w:val="auto"/>
                <w:szCs w:val="21"/>
                <w:lang w:val="en-US" w:eastAsia="zh-CN"/>
              </w:rPr>
              <w:t>102</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0.4</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0.2</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cs="Times New Roman"/>
                <w:b w:val="0"/>
                <w:bCs w:val="0"/>
                <w:color w:val="auto"/>
                <w:spacing w:val="-17"/>
                <w:sz w:val="18"/>
                <w:szCs w:val="18"/>
                <w:lang w:val="en-US" w:eastAsia="zh-CN"/>
              </w:rPr>
            </w:pPr>
            <w:r>
              <w:rPr>
                <w:rFonts w:hint="default" w:ascii="Times New Roman" w:hAnsi="Times New Roman" w:cs="Times New Roman"/>
                <w:b w:val="0"/>
                <w:bCs w:val="0"/>
                <w:color w:val="auto"/>
                <w:spacing w:val="-17"/>
                <w:sz w:val="18"/>
                <w:szCs w:val="18"/>
                <w:lang w:val="en-US" w:eastAsia="zh-CN"/>
              </w:rPr>
              <w:t>不符合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23"/>
                <w:sz w:val="21"/>
                <w:szCs w:val="21"/>
                <w:lang w:val="en-US" w:eastAsia="zh-CN"/>
              </w:rPr>
              <w:t>外部脱离器</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空开C</w:t>
            </w:r>
            <w:r>
              <w:rPr>
                <w:rFonts w:hint="default" w:ascii="Times New Roman" w:hAnsi="Times New Roman" w:cs="Times New Roman"/>
                <w:color w:val="auto"/>
                <w:szCs w:val="21"/>
                <w:lang w:val="en-US" w:eastAsia="zh-CN"/>
              </w:rPr>
              <w:t>2</w:t>
            </w:r>
            <w:r>
              <w:rPr>
                <w:rFonts w:hint="default" w:ascii="Times New Roman" w:hAnsi="Times New Roman" w:eastAsia="宋体" w:cs="Times New Roman"/>
                <w:color w:val="auto"/>
                <w:szCs w:val="21"/>
                <w:lang w:val="en-US" w:eastAsia="zh-CN"/>
              </w:rPr>
              <w:t>0</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eastAsia="宋体" w:cs="Times New Roman"/>
                <w:color w:val="auto"/>
                <w:spacing w:val="-11"/>
                <w:kern w:val="0"/>
                <w:sz w:val="21"/>
                <w:szCs w:val="21"/>
                <w:lang w:val="en-US" w:eastAsia="zh-CN" w:bidi="ar-SA"/>
              </w:rPr>
            </w:pPr>
            <w:r>
              <w:rPr>
                <w:rFonts w:hint="default" w:ascii="Times New Roman" w:hAnsi="Times New Roman" w:cs="Times New Roman"/>
                <w:color w:val="auto"/>
                <w:spacing w:val="-11"/>
                <w:kern w:val="0"/>
                <w:szCs w:val="21"/>
                <w:lang w:val="en-US" w:eastAsia="zh-CN"/>
              </w:rPr>
              <w:t>N</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893</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3.1</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color w:val="auto"/>
                <w:szCs w:val="21"/>
                <w:lang w:val="en-US" w:eastAsia="zh-CN"/>
              </w:rPr>
              <w:t>99</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cs="Times New Roman"/>
                <w:b w:val="0"/>
                <w:bCs w:val="0"/>
                <w:color w:val="auto"/>
                <w:spacing w:val="-17"/>
                <w:sz w:val="18"/>
                <w:szCs w:val="18"/>
                <w:lang w:val="en-US" w:eastAsia="zh-CN"/>
              </w:rPr>
            </w:pPr>
            <w:r>
              <w:rPr>
                <w:rFonts w:hint="default" w:ascii="Times New Roman" w:hAnsi="Times New Roman" w:cs="Times New Roman"/>
                <w:b w:val="0"/>
                <w:bCs w:val="0"/>
                <w:color w:val="auto"/>
                <w:spacing w:val="-17"/>
                <w:sz w:val="18"/>
                <w:szCs w:val="18"/>
                <w:lang w:val="en-US" w:eastAsia="zh-CN"/>
              </w:rPr>
              <w:t>不符合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restart"/>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r>
              <w:rPr>
                <w:rFonts w:hint="default" w:ascii="Times New Roman" w:hAnsi="Times New Roman" w:cs="Times New Roman"/>
                <w:color w:val="auto"/>
                <w:kern w:val="0"/>
                <w:szCs w:val="21"/>
                <w:lang w:val="en-US" w:eastAsia="zh-CN"/>
              </w:rPr>
              <w:t>4</w:t>
            </w: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位置</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交换机柜</w:t>
            </w:r>
          </w:p>
        </w:tc>
        <w:tc>
          <w:tcPr>
            <w:tcW w:w="737"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pacing w:val="-11"/>
                <w:sz w:val="21"/>
                <w:szCs w:val="21"/>
                <w:lang w:val="en-US" w:eastAsia="zh-CN"/>
              </w:rPr>
              <w:t>0.15</w:t>
            </w:r>
          </w:p>
        </w:tc>
        <w:tc>
          <w:tcPr>
            <w:tcW w:w="613" w:type="dxa"/>
            <w:vMerge w:val="restart"/>
            <w:vAlign w:val="center"/>
          </w:tcPr>
          <w:p>
            <w:pPr>
              <w:spacing w:line="320" w:lineRule="exact"/>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a</w:t>
            </w:r>
          </w:p>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Cs/>
                <w:color w:val="auto"/>
                <w:sz w:val="21"/>
                <w:szCs w:val="21"/>
                <w:lang w:eastAsia="zh-CN"/>
              </w:rPr>
              <w:t>☑</w:t>
            </w:r>
            <w:r>
              <w:rPr>
                <w:rFonts w:hint="default" w:ascii="Times New Roman" w:hAnsi="Times New Roman" w:eastAsia="宋体" w:cs="Times New Roman"/>
                <w:bCs/>
                <w:color w:val="auto"/>
                <w:sz w:val="21"/>
                <w:szCs w:val="21"/>
              </w:rPr>
              <w:t>b</w:t>
            </w:r>
          </w:p>
        </w:tc>
        <w:tc>
          <w:tcPr>
            <w:tcW w:w="496"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cs="Times New Roman"/>
                <w:color w:val="auto"/>
                <w:spacing w:val="-34"/>
                <w:szCs w:val="21"/>
                <w:lang w:val="en-US" w:eastAsia="zh-CN"/>
              </w:rPr>
              <w:t>48</w:t>
            </w:r>
          </w:p>
        </w:tc>
        <w:tc>
          <w:tcPr>
            <w:tcW w:w="521"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lang w:val="en-US" w:eastAsia="zh-CN"/>
              </w:rPr>
            </w:pPr>
            <w:r>
              <w:rPr>
                <w:rFonts w:hint="default" w:ascii="Times New Roman" w:hAnsi="Times New Roman" w:eastAsia="仿宋_GB2312" w:cs="Times New Roman"/>
                <w:color w:val="auto"/>
                <w:sz w:val="32"/>
                <w:szCs w:val="32"/>
              </w:rPr>
              <w:t>―</w:t>
            </w:r>
          </w:p>
        </w:tc>
        <w:tc>
          <w:tcPr>
            <w:tcW w:w="522" w:type="dxa"/>
            <w:vAlign w:val="center"/>
          </w:tcPr>
          <w:p>
            <w:pPr>
              <w:kinsoku w:val="0"/>
              <w:overflowPunct w:val="0"/>
              <w:spacing w:line="300" w:lineRule="exact"/>
              <w:jc w:val="center"/>
              <w:rPr>
                <w:rFonts w:hint="default" w:ascii="Times New Roman" w:hAnsi="Times New Roman" w:cs="Times New Roman"/>
                <w:color w:val="auto"/>
                <w:spacing w:val="-11"/>
                <w:kern w:val="0"/>
                <w:szCs w:val="21"/>
                <w:lang w:val="en-US" w:eastAsia="zh-CN"/>
              </w:rPr>
            </w:pPr>
            <w:r>
              <w:rPr>
                <w:rFonts w:hint="default" w:ascii="Times New Roman" w:hAnsi="Times New Roman" w:cs="Times New Roman"/>
                <w:color w:val="auto"/>
                <w:spacing w:val="-11"/>
                <w:kern w:val="0"/>
                <w:szCs w:val="21"/>
                <w:lang w:val="en-US" w:eastAsia="zh-CN"/>
              </w:rPr>
              <w:t>L1</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784" w:type="dxa"/>
            <w:vMerge w:val="restart"/>
            <w:vAlign w:val="center"/>
          </w:tcPr>
          <w:p>
            <w:pPr>
              <w:kinsoku w:val="0"/>
              <w:overflowPunct w:val="0"/>
              <w:autoSpaceDE w:val="0"/>
              <w:autoSpaceDN w:val="0"/>
              <w:adjustRightInd w:val="0"/>
              <w:spacing w:line="320" w:lineRule="exact"/>
              <w:jc w:val="center"/>
              <w:rPr>
                <w:rFonts w:hint="default"/>
                <w:color w:val="auto"/>
                <w:lang w:val="en-US" w:eastAsia="zh-CN"/>
              </w:rPr>
            </w:pPr>
            <w:r>
              <w:rPr>
                <w:rFonts w:hint="default" w:ascii="Times New Roman" w:hAnsi="Times New Roman" w:eastAsia="仿宋_GB2312" w:cs="Times New Roman"/>
                <w:color w:val="auto"/>
                <w:sz w:val="32"/>
                <w:szCs w:val="32"/>
              </w:rPr>
              <w:t>―</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2.5</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型号</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ZH</w:t>
            </w:r>
            <w:r>
              <w:rPr>
                <w:rFonts w:hint="default" w:ascii="Times New Roman" w:hAnsi="Times New Roman" w:cs="Times New Roman"/>
                <w:color w:val="auto"/>
                <w:szCs w:val="21"/>
                <w:lang w:val="en-US" w:eastAsia="zh-CN"/>
              </w:rPr>
              <w:t>N</w:t>
            </w:r>
            <w:r>
              <w:rPr>
                <w:rFonts w:hint="default" w:ascii="Times New Roman" w:hAnsi="Times New Roman" w:eastAsia="宋体" w:cs="Times New Roman"/>
                <w:color w:val="auto"/>
                <w:szCs w:val="21"/>
                <w:lang w:val="en-US" w:eastAsia="zh-CN"/>
              </w:rPr>
              <w:t>0</w:t>
            </w:r>
            <w:r>
              <w:rPr>
                <w:rFonts w:hint="default" w:ascii="Times New Roman" w:hAnsi="Times New Roman" w:cs="Times New Roman"/>
                <w:color w:val="auto"/>
                <w:szCs w:val="21"/>
                <w:lang w:val="en-US" w:eastAsia="zh-CN"/>
              </w:rPr>
              <w:t>5</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cs="Times New Roman"/>
                <w:color w:val="auto"/>
                <w:spacing w:val="-11"/>
                <w:kern w:val="0"/>
                <w:szCs w:val="21"/>
                <w:lang w:val="en-US" w:eastAsia="zh-CN"/>
              </w:rPr>
            </w:pPr>
            <w:r>
              <w:rPr>
                <w:rFonts w:hint="default" w:ascii="Times New Roman" w:hAnsi="Times New Roman" w:cs="Times New Roman"/>
                <w:color w:val="auto"/>
                <w:spacing w:val="-11"/>
                <w:kern w:val="0"/>
                <w:szCs w:val="21"/>
                <w:lang w:val="en-US" w:eastAsia="zh-CN"/>
              </w:rPr>
              <w:t>L2</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外观</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正常</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5</w:t>
            </w: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cs="Times New Roman"/>
                <w:color w:val="auto"/>
                <w:spacing w:val="-11"/>
                <w:kern w:val="0"/>
                <w:szCs w:val="21"/>
                <w:lang w:val="en-US" w:eastAsia="zh-CN"/>
              </w:rPr>
            </w:pPr>
            <w:r>
              <w:rPr>
                <w:rFonts w:hint="default" w:ascii="Times New Roman" w:hAnsi="Times New Roman" w:cs="Times New Roman"/>
                <w:color w:val="auto"/>
                <w:spacing w:val="-11"/>
                <w:kern w:val="0"/>
                <w:szCs w:val="21"/>
                <w:lang w:val="en-US" w:eastAsia="zh-CN"/>
              </w:rPr>
              <w:t>L3</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784"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仿宋_GB2312" w:cs="Times New Roman"/>
                <w:color w:val="auto"/>
                <w:sz w:val="32"/>
                <w:szCs w:val="32"/>
              </w:rPr>
              <w:t>―</w:t>
            </w:r>
          </w:p>
        </w:tc>
        <w:tc>
          <w:tcPr>
            <w:tcW w:w="702" w:type="dxa"/>
            <w:vMerge w:val="restart"/>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0.3</w:t>
            </w: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551" w:type="dxa"/>
            <w:vMerge w:val="continue"/>
            <w:vAlign w:val="center"/>
          </w:tcPr>
          <w:p>
            <w:pPr>
              <w:kinsoku w:val="0"/>
              <w:overflowPunct w:val="0"/>
              <w:autoSpaceDE w:val="0"/>
              <w:autoSpaceDN w:val="0"/>
              <w:adjustRightInd w:val="0"/>
              <w:spacing w:line="300" w:lineRule="exact"/>
              <w:jc w:val="center"/>
              <w:rPr>
                <w:rFonts w:hint="default" w:ascii="Times New Roman" w:hAnsi="Times New Roman" w:cs="Times New Roman"/>
                <w:color w:val="auto"/>
                <w:kern w:val="0"/>
                <w:szCs w:val="21"/>
                <w:lang w:val="en-US" w:eastAsia="zh-CN"/>
              </w:rPr>
            </w:pPr>
          </w:p>
        </w:tc>
        <w:tc>
          <w:tcPr>
            <w:tcW w:w="1086" w:type="dxa"/>
            <w:shd w:val="clear" w:color="auto" w:fill="auto"/>
            <w:vAlign w:val="center"/>
          </w:tcPr>
          <w:p>
            <w:pPr>
              <w:spacing w:line="28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23"/>
                <w:sz w:val="21"/>
                <w:szCs w:val="21"/>
                <w:lang w:val="en-US" w:eastAsia="zh-CN"/>
              </w:rPr>
              <w:t>外部脱离器</w:t>
            </w:r>
          </w:p>
        </w:tc>
        <w:tc>
          <w:tcPr>
            <w:tcW w:w="124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仿宋_GB2312" w:cs="Times New Roman"/>
                <w:color w:val="auto"/>
                <w:sz w:val="32"/>
                <w:szCs w:val="32"/>
              </w:rPr>
              <w:t>―</w:t>
            </w:r>
          </w:p>
        </w:tc>
        <w:tc>
          <w:tcPr>
            <w:tcW w:w="737"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613"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496"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1"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pacing w:val="-34"/>
                <w:szCs w:val="21"/>
              </w:rPr>
            </w:pPr>
          </w:p>
        </w:tc>
        <w:tc>
          <w:tcPr>
            <w:tcW w:w="522" w:type="dxa"/>
            <w:vAlign w:val="center"/>
          </w:tcPr>
          <w:p>
            <w:pPr>
              <w:kinsoku w:val="0"/>
              <w:overflowPunct w:val="0"/>
              <w:spacing w:line="300" w:lineRule="exact"/>
              <w:jc w:val="center"/>
              <w:rPr>
                <w:rFonts w:hint="default" w:ascii="Times New Roman" w:hAnsi="Times New Roman" w:cs="Times New Roman"/>
                <w:color w:val="auto"/>
                <w:spacing w:val="-11"/>
                <w:kern w:val="0"/>
                <w:szCs w:val="21"/>
                <w:lang w:val="en-US" w:eastAsia="zh-CN"/>
              </w:rPr>
            </w:pPr>
            <w:r>
              <w:rPr>
                <w:rFonts w:hint="default" w:ascii="Times New Roman" w:hAnsi="Times New Roman" w:cs="Times New Roman"/>
                <w:color w:val="auto"/>
                <w:spacing w:val="-11"/>
                <w:kern w:val="0"/>
                <w:szCs w:val="21"/>
                <w:lang w:val="en-US" w:eastAsia="zh-CN"/>
              </w:rPr>
              <w:t>N</w:t>
            </w:r>
          </w:p>
        </w:tc>
        <w:tc>
          <w:tcPr>
            <w:tcW w:w="603"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597"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690"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eastAsia="仿宋_GB2312" w:cs="Times New Roman"/>
                <w:color w:val="auto"/>
                <w:sz w:val="32"/>
                <w:szCs w:val="32"/>
              </w:rPr>
              <w:t>―</w:t>
            </w:r>
          </w:p>
        </w:tc>
        <w:tc>
          <w:tcPr>
            <w:tcW w:w="784"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02" w:type="dxa"/>
            <w:vMerge w:val="continue"/>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p>
        </w:tc>
        <w:tc>
          <w:tcPr>
            <w:tcW w:w="719" w:type="dxa"/>
            <w:vAlign w:val="center"/>
          </w:tcPr>
          <w:p>
            <w:pPr>
              <w:kinsoku w:val="0"/>
              <w:overflowPunct w:val="0"/>
              <w:autoSpaceDE w:val="0"/>
              <w:autoSpaceDN w:val="0"/>
              <w:adjustRightInd w:val="0"/>
              <w:spacing w:line="320" w:lineRule="exact"/>
              <w:jc w:val="center"/>
              <w:rPr>
                <w:rFonts w:hint="default" w:ascii="Times New Roman" w:hAnsi="Times New Roman" w:eastAsia="宋体" w:cs="Times New Roman"/>
                <w:color w:val="auto"/>
                <w:szCs w:val="21"/>
              </w:rPr>
            </w:pPr>
            <w:r>
              <w:rPr>
                <w:rFonts w:hint="default" w:ascii="Times New Roman" w:hAnsi="Times New Roman" w:cs="Times New Roman"/>
                <w:b w:val="0"/>
                <w:bCs w:val="0"/>
                <w:color w:val="auto"/>
                <w:sz w:val="18"/>
                <w:szCs w:val="18"/>
                <w:lang w:val="en-US" w:eastAsia="zh-CN"/>
              </w:rPr>
              <w:t>符合</w:t>
            </w:r>
          </w:p>
        </w:tc>
      </w:tr>
    </w:tbl>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jc w:val="left"/>
        <w:textAlignment w:val="auto"/>
        <w:rPr>
          <w:rFonts w:hint="default" w:ascii="Times New Roman" w:hAnsi="Times New Roman" w:eastAsia="黑体" w:cs="Times New Roman"/>
          <w:color w:val="auto"/>
          <w:sz w:val="32"/>
          <w:szCs w:val="32"/>
          <w:lang w:val="en-US" w:eastAsia="zh-CN"/>
        </w:rPr>
      </w:pPr>
      <w:bookmarkStart w:id="116" w:name="_Toc24362"/>
      <w:bookmarkStart w:id="117" w:name="_Toc31007"/>
      <w:bookmarkStart w:id="118" w:name="_Toc22292"/>
      <w:r>
        <w:rPr>
          <w:rFonts w:hint="default" w:ascii="Times New Roman" w:hAnsi="Times New Roman" w:eastAsia="黑体" w:cs="Times New Roman"/>
          <w:color w:val="auto"/>
          <w:sz w:val="32"/>
          <w:szCs w:val="32"/>
          <w:lang w:val="en-US" w:eastAsia="zh-CN"/>
        </w:rPr>
        <w:t>9 检测结果及判定</w:t>
      </w:r>
      <w:bookmarkEnd w:id="116"/>
      <w:bookmarkEnd w:id="117"/>
      <w:bookmarkEnd w:id="118"/>
    </w:p>
    <w:p>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b w:val="0"/>
          <w:bCs w:val="0"/>
          <w:color w:val="auto"/>
          <w:lang w:val="en-US" w:eastAsia="zh-CN"/>
        </w:rPr>
      </w:pPr>
      <w:bookmarkStart w:id="119" w:name="_Toc5802"/>
      <w:bookmarkStart w:id="120" w:name="_Toc23904"/>
      <w:r>
        <w:rPr>
          <w:rFonts w:hint="eastAsia" w:ascii="黑体" w:hAnsi="黑体" w:eastAsia="黑体" w:cs="黑体"/>
          <w:b w:val="0"/>
          <w:bCs w:val="0"/>
          <w:color w:val="auto"/>
          <w:lang w:val="en-US" w:eastAsia="zh-CN"/>
        </w:rPr>
        <w:t>9.1 检测结果</w:t>
      </w:r>
      <w:bookmarkEnd w:id="119"/>
      <w:bookmarkEnd w:id="120"/>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根据</w:t>
      </w:r>
      <w:r>
        <w:rPr>
          <w:rFonts w:hint="default" w:ascii="Times New Roman" w:hAnsi="Times New Roman" w:eastAsia="仿宋_GB2312" w:cs="Times New Roman"/>
          <w:color w:val="auto"/>
          <w:sz w:val="32"/>
          <w:szCs w:val="32"/>
        </w:rPr>
        <w:t>观察</w:t>
      </w:r>
      <w:r>
        <w:rPr>
          <w:rFonts w:hint="default" w:ascii="Times New Roman" w:hAnsi="Times New Roman" w:eastAsia="仿宋_GB2312" w:cs="Times New Roman"/>
          <w:color w:val="auto"/>
          <w:sz w:val="32"/>
          <w:szCs w:val="32"/>
          <w:lang w:val="en-US" w:eastAsia="zh-CN"/>
        </w:rPr>
        <w:t>检查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测量、</w:t>
      </w:r>
      <w:r>
        <w:rPr>
          <w:rFonts w:hint="default" w:ascii="Times New Roman" w:hAnsi="Times New Roman" w:eastAsia="仿宋_GB2312" w:cs="Times New Roman"/>
          <w:color w:val="auto"/>
          <w:sz w:val="32"/>
          <w:szCs w:val="32"/>
        </w:rPr>
        <w:t>查阅资料（</w:t>
      </w:r>
      <w:r>
        <w:rPr>
          <w:rFonts w:hint="default" w:ascii="Times New Roman" w:hAnsi="Times New Roman" w:eastAsia="仿宋_GB2312" w:cs="Times New Roman"/>
          <w:color w:val="auto"/>
          <w:sz w:val="32"/>
          <w:szCs w:val="32"/>
          <w:lang w:val="en-US" w:eastAsia="zh-CN"/>
        </w:rPr>
        <w:t>查阅可以是隐蔽工程记录、施工记录、设计</w:t>
      </w:r>
      <w:r>
        <w:rPr>
          <w:rFonts w:hint="eastAsia" w:eastAsia="仿宋_GB2312" w:cs="Times New Roman"/>
          <w:color w:val="auto"/>
          <w:sz w:val="32"/>
          <w:szCs w:val="32"/>
          <w:lang w:val="en-US" w:eastAsia="zh-CN"/>
        </w:rPr>
        <w:t>文件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竣工</w:t>
      </w:r>
      <w:r>
        <w:rPr>
          <w:rFonts w:hint="eastAsia" w:eastAsia="仿宋_GB2312" w:cs="Times New Roman"/>
          <w:color w:val="auto"/>
          <w:sz w:val="32"/>
          <w:szCs w:val="32"/>
          <w:lang w:val="en-US" w:eastAsia="zh-CN"/>
        </w:rPr>
        <w:t>文件</w:t>
      </w:r>
      <w:r>
        <w:rPr>
          <w:rFonts w:hint="default" w:ascii="Times New Roman" w:hAnsi="Times New Roman" w:eastAsia="仿宋_GB2312" w:cs="Times New Roman"/>
          <w:color w:val="auto"/>
          <w:sz w:val="32"/>
          <w:szCs w:val="32"/>
          <w:lang w:val="en-US" w:eastAsia="zh-CN"/>
        </w:rPr>
        <w:t>、第三方报告等</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获得的信息</w:t>
      </w: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入本栏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其中，测量数据均为按照</w:t>
      </w:r>
      <w:r>
        <w:rPr>
          <w:rFonts w:hint="eastAsia" w:eastAsia="仿宋_GB2312" w:cs="Times New Roman"/>
          <w:color w:val="auto"/>
          <w:sz w:val="32"/>
          <w:szCs w:val="32"/>
          <w:lang w:val="en-US" w:eastAsia="zh-CN"/>
        </w:rPr>
        <w:t>GB/T 21431—2023</w:t>
      </w:r>
      <w:r>
        <w:rPr>
          <w:rFonts w:hint="default" w:ascii="Times New Roman" w:hAnsi="Times New Roman" w:eastAsia="仿宋_GB2312" w:cs="Times New Roman"/>
          <w:color w:val="auto"/>
          <w:sz w:val="32"/>
          <w:szCs w:val="32"/>
          <w:lang w:val="en-US" w:eastAsia="zh-CN"/>
        </w:rPr>
        <w:t>附录K规定处理后的修约数据。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注：原始记录中要体现检测数量。</w:t>
      </w:r>
    </w:p>
    <w:p>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b w:val="0"/>
          <w:bCs w:val="0"/>
          <w:color w:val="auto"/>
          <w:lang w:val="en-US" w:eastAsia="zh-CN"/>
        </w:rPr>
      </w:pPr>
      <w:bookmarkStart w:id="121" w:name="_Toc25644"/>
      <w:bookmarkStart w:id="122" w:name="_Toc26456"/>
      <w:r>
        <w:rPr>
          <w:rFonts w:hint="eastAsia" w:ascii="黑体" w:hAnsi="黑体" w:eastAsia="黑体" w:cs="黑体"/>
          <w:b w:val="0"/>
          <w:bCs w:val="0"/>
          <w:color w:val="auto"/>
          <w:lang w:val="en-US" w:eastAsia="zh-CN"/>
        </w:rPr>
        <w:t>9.2 判定结论</w:t>
      </w:r>
      <w:bookmarkEnd w:id="121"/>
      <w:bookmarkEnd w:id="122"/>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“符合”或“不符合”。</w:t>
      </w:r>
    </w:p>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jc w:val="left"/>
        <w:textAlignment w:val="auto"/>
        <w:rPr>
          <w:rFonts w:hint="default" w:ascii="Times New Roman" w:hAnsi="Times New Roman" w:eastAsia="黑体" w:cs="Times New Roman"/>
          <w:color w:val="auto"/>
          <w:sz w:val="32"/>
          <w:szCs w:val="32"/>
          <w:lang w:val="en-US" w:eastAsia="zh-CN"/>
        </w:rPr>
      </w:pPr>
      <w:bookmarkStart w:id="123" w:name="_Toc32306"/>
      <w:bookmarkStart w:id="124" w:name="_Toc6668"/>
      <w:bookmarkStart w:id="125" w:name="_Toc27456"/>
      <w:r>
        <w:rPr>
          <w:rFonts w:hint="default" w:ascii="Times New Roman" w:hAnsi="Times New Roman" w:eastAsia="黑体" w:cs="Times New Roman"/>
          <w:color w:val="auto"/>
          <w:sz w:val="32"/>
          <w:szCs w:val="32"/>
          <w:lang w:val="en-US" w:eastAsia="zh-CN"/>
        </w:rPr>
        <w:t>10 技术评定</w:t>
      </w:r>
      <w:bookmarkEnd w:id="123"/>
      <w:bookmarkEnd w:id="124"/>
      <w:bookmarkEnd w:id="125"/>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26" w:name="_Toc29092"/>
      <w:bookmarkStart w:id="127" w:name="_Toc19668"/>
      <w:r>
        <w:rPr>
          <w:rFonts w:hint="eastAsia" w:ascii="黑体" w:hAnsi="黑体" w:eastAsia="黑体" w:cs="黑体"/>
          <w:b w:val="0"/>
          <w:bCs w:val="0"/>
          <w:color w:val="auto"/>
          <w:lang w:val="en-US" w:eastAsia="zh-CN"/>
        </w:rPr>
        <w:t>10.1 技术评定</w:t>
      </w:r>
      <w:bookmarkEnd w:id="126"/>
      <w:bookmarkEnd w:id="127"/>
    </w:p>
    <w:p>
      <w:pPr>
        <w:keepNext w:val="0"/>
        <w:keepLines w:val="0"/>
        <w:pageBreakBefore w:val="0"/>
        <w:widowControl w:val="0"/>
        <w:kinsoku/>
        <w:wordWrap/>
        <w:overflowPunct/>
        <w:topLinePunct w:val="0"/>
        <w:autoSpaceDE/>
        <w:autoSpaceDN/>
        <w:bidi w:val="0"/>
        <w:adjustRightInd/>
        <w:snapToGrid/>
        <w:spacing w:line="640" w:lineRule="exact"/>
        <w:ind w:firstLine="960" w:firstLineChars="3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如果不存在不符合项，则单体技术评定为“全部符合”；否则，为“部分符合”。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楷体" w:cs="Times New Roman"/>
          <w:b w:val="0"/>
          <w:bCs w:val="0"/>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示例：</w:t>
      </w:r>
    </w:p>
    <w:p>
      <w:pPr>
        <w:keepNext w:val="0"/>
        <w:keepLines w:val="0"/>
        <w:pageBreakBefore w:val="0"/>
        <w:widowControl w:val="0"/>
        <w:kinsoku/>
        <w:wordWrap/>
        <w:overflowPunct/>
        <w:topLinePunct w:val="0"/>
        <w:autoSpaceDE/>
        <w:autoSpaceDN/>
        <w:bidi w:val="0"/>
        <w:adjustRightInd/>
        <w:snapToGrid/>
        <w:spacing w:line="640" w:lineRule="exact"/>
        <w:ind w:firstLine="616" w:firstLineChars="200"/>
        <w:textAlignment w:val="auto"/>
        <w:rPr>
          <w:rFonts w:hint="default" w:ascii="Times New Roman" w:hAnsi="Times New Roman" w:eastAsia="仿宋_GB2312" w:cs="Times New Roman"/>
          <w:b w:val="0"/>
          <w:bCs w:val="0"/>
          <w:color w:val="auto"/>
          <w:spacing w:val="-6"/>
          <w:sz w:val="32"/>
          <w:szCs w:val="32"/>
          <w:lang w:val="en-US" w:eastAsia="zh-CN"/>
        </w:rPr>
      </w:pPr>
      <w:r>
        <w:rPr>
          <w:rFonts w:hint="default" w:ascii="Times New Roman" w:hAnsi="Times New Roman" w:eastAsia="仿宋_GB2312" w:cs="Times New Roman"/>
          <w:b w:val="0"/>
          <w:bCs w:val="0"/>
          <w:color w:val="auto"/>
          <w:spacing w:val="-6"/>
          <w:sz w:val="32"/>
          <w:szCs w:val="32"/>
          <w:lang w:val="en-US" w:eastAsia="zh-CN"/>
        </w:rPr>
        <w:t>1.以上检测内容及其测试结果，全部</w:t>
      </w:r>
      <w:r>
        <w:rPr>
          <w:rFonts w:hint="eastAsia" w:eastAsia="仿宋_GB2312" w:cs="Times New Roman"/>
          <w:b w:val="0"/>
          <w:bCs w:val="0"/>
          <w:color w:val="auto"/>
          <w:spacing w:val="-6"/>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/部分</w:t>
      </w:r>
      <w:r>
        <w:rPr>
          <w:rFonts w:hint="eastAsia" w:eastAsia="仿宋_GB2312" w:cs="Times New Roman"/>
          <w:b w:val="0"/>
          <w:bCs w:val="0"/>
          <w:color w:val="auto"/>
          <w:spacing w:val="-6"/>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符合GB50057</w:t>
      </w:r>
      <w:r>
        <w:rPr>
          <w:rFonts w:hint="eastAsia" w:eastAsia="仿宋_GB2312" w:cs="Times New Roman"/>
          <w:b w:val="0"/>
          <w:bCs w:val="0"/>
          <w:color w:val="auto"/>
          <w:spacing w:val="-6"/>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2010、GB/T21431</w:t>
      </w:r>
      <w:r>
        <w:rPr>
          <w:rFonts w:hint="eastAsia" w:eastAsia="仿宋_GB2312" w:cs="Times New Roman"/>
          <w:b w:val="0"/>
          <w:bCs w:val="0"/>
          <w:color w:val="auto"/>
          <w:spacing w:val="-6"/>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2023、GB/TXXXXX</w:t>
      </w:r>
      <w:r>
        <w:rPr>
          <w:rFonts w:hint="eastAsia" w:eastAsia="仿宋_GB2312" w:cs="Times New Roman"/>
          <w:b w:val="0"/>
          <w:bCs w:val="0"/>
          <w:color w:val="auto"/>
          <w:spacing w:val="-6"/>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20XX等技术规范要求。</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2.存在以下不符合项，建议整改：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详见《XXXX防雷安全隐患整改意见书》。</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28" w:name="_Toc16880"/>
      <w:bookmarkStart w:id="129" w:name="_Toc21249"/>
      <w:r>
        <w:rPr>
          <w:rFonts w:hint="eastAsia" w:ascii="黑体" w:hAnsi="黑体" w:eastAsia="黑体" w:cs="黑体"/>
          <w:b w:val="0"/>
          <w:bCs w:val="0"/>
          <w:color w:val="auto"/>
          <w:lang w:val="en-US" w:eastAsia="zh-CN"/>
        </w:rPr>
        <w:t>10.2 检测专用章</w:t>
      </w:r>
      <w:bookmarkEnd w:id="128"/>
      <w:bookmarkEnd w:id="129"/>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加盖</w:t>
      </w:r>
      <w:r>
        <w:rPr>
          <w:rFonts w:hint="eastAsia" w:ascii="Times New Roman" w:hAnsi="Times New Roman" w:eastAsia="仿宋_GB2312" w:cs="Times New Roman"/>
          <w:color w:val="auto"/>
          <w:sz w:val="32"/>
          <w:szCs w:val="32"/>
          <w:lang w:val="en-US" w:eastAsia="zh-CN"/>
        </w:rPr>
        <w:t>检测机构</w:t>
      </w:r>
      <w:r>
        <w:rPr>
          <w:rFonts w:hint="default" w:ascii="Times New Roman" w:hAnsi="Times New Roman" w:eastAsia="仿宋_GB2312" w:cs="Times New Roman"/>
          <w:color w:val="auto"/>
          <w:sz w:val="32"/>
          <w:szCs w:val="32"/>
          <w:lang w:val="en-US" w:eastAsia="zh-CN"/>
        </w:rPr>
        <w:t>检测专用章。</w:t>
      </w:r>
    </w:p>
    <w:p>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b w:val="0"/>
          <w:bCs w:val="0"/>
          <w:color w:val="auto"/>
          <w:lang w:val="en-US" w:eastAsia="zh-CN"/>
        </w:rPr>
      </w:pPr>
      <w:bookmarkStart w:id="130" w:name="_Toc20911"/>
      <w:bookmarkStart w:id="131" w:name="_Toc6462"/>
      <w:r>
        <w:rPr>
          <w:rFonts w:hint="eastAsia" w:ascii="黑体" w:hAnsi="黑体" w:eastAsia="黑体" w:cs="黑体"/>
          <w:b w:val="0"/>
          <w:bCs w:val="0"/>
          <w:color w:val="auto"/>
          <w:lang w:val="en-US" w:eastAsia="zh-CN"/>
        </w:rPr>
        <w:t>10.3 年月日</w:t>
      </w:r>
      <w:bookmarkEnd w:id="130"/>
      <w:bookmarkEnd w:id="131"/>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技术负责人签字的日期。</w:t>
      </w:r>
    </w:p>
    <w:p>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ascii="黑体" w:hAnsi="黑体" w:eastAsia="黑体" w:cs="黑体"/>
          <w:b w:val="0"/>
          <w:bCs w:val="0"/>
          <w:color w:val="auto"/>
          <w:lang w:val="en-US" w:eastAsia="zh-CN"/>
        </w:rPr>
      </w:pPr>
      <w:bookmarkStart w:id="132" w:name="_Toc4719"/>
      <w:bookmarkStart w:id="133" w:name="_Toc11186"/>
      <w:r>
        <w:rPr>
          <w:rFonts w:hint="eastAsia" w:ascii="黑体" w:hAnsi="黑体" w:eastAsia="黑体" w:cs="黑体"/>
          <w:b w:val="0"/>
          <w:bCs w:val="0"/>
          <w:color w:val="auto"/>
          <w:lang w:val="en-US" w:eastAsia="zh-CN"/>
        </w:rPr>
        <w:t>10.4 检测人</w:t>
      </w:r>
      <w:bookmarkEnd w:id="132"/>
      <w:bookmarkEnd w:id="133"/>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检测人必须是参与现场检测的人员，确认后应用黑色的钢笔或碳素笔签署。</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34" w:name="_Toc25216"/>
      <w:bookmarkStart w:id="135" w:name="_Toc15989"/>
      <w:r>
        <w:rPr>
          <w:rFonts w:hint="eastAsia" w:ascii="黑体" w:hAnsi="黑体" w:eastAsia="黑体" w:cs="黑体"/>
          <w:b w:val="0"/>
          <w:bCs w:val="0"/>
          <w:color w:val="auto"/>
          <w:lang w:val="en-US" w:eastAsia="zh-CN"/>
        </w:rPr>
        <w:t>10.5 校核人</w:t>
      </w:r>
      <w:bookmarkEnd w:id="134"/>
      <w:bookmarkEnd w:id="135"/>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校核人员进行报告校核后应用黑色的钢笔或碳素笔签署。</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36" w:name="_Toc21649"/>
      <w:bookmarkStart w:id="137" w:name="_Toc31478"/>
      <w:r>
        <w:rPr>
          <w:rFonts w:hint="eastAsia" w:ascii="黑体" w:hAnsi="黑体" w:eastAsia="黑体" w:cs="黑体"/>
          <w:b w:val="0"/>
          <w:bCs w:val="0"/>
          <w:color w:val="auto"/>
          <w:lang w:val="en-US" w:eastAsia="zh-CN"/>
        </w:rPr>
        <w:t>10.6 技术负责人</w:t>
      </w:r>
      <w:bookmarkEnd w:id="136"/>
      <w:bookmarkEnd w:id="137"/>
    </w:p>
    <w:p>
      <w:pPr>
        <w:keepNext w:val="0"/>
        <w:keepLines w:val="0"/>
        <w:pageBreakBefore w:val="0"/>
        <w:widowControl w:val="0"/>
        <w:kinsoku/>
        <w:wordWrap/>
        <w:overflowPunct/>
        <w:topLinePunct w:val="0"/>
        <w:autoSpaceDE/>
        <w:autoSpaceDN/>
        <w:bidi w:val="0"/>
        <w:adjustRightInd/>
        <w:snapToGrid/>
        <w:spacing w:line="640" w:lineRule="exact"/>
        <w:ind w:firstLine="616" w:firstLineChars="200"/>
        <w:textAlignment w:val="auto"/>
        <w:rPr>
          <w:rFonts w:hint="default" w:ascii="Times New Roman" w:hAnsi="Times New Roman" w:eastAsia="仿宋_GB2312" w:cs="Times New Roman"/>
          <w:color w:val="auto"/>
          <w:spacing w:val="-6"/>
          <w:sz w:val="32"/>
          <w:szCs w:val="32"/>
          <w:lang w:val="en-US" w:eastAsia="zh-CN"/>
        </w:rPr>
      </w:pPr>
      <w:r>
        <w:rPr>
          <w:rFonts w:hint="eastAsia" w:ascii="Times New Roman" w:hAnsi="Times New Roman" w:eastAsia="仿宋_GB2312" w:cs="Times New Roman"/>
          <w:color w:val="auto"/>
          <w:spacing w:val="-6"/>
          <w:sz w:val="32"/>
          <w:szCs w:val="32"/>
          <w:lang w:val="en-US" w:eastAsia="zh-CN"/>
        </w:rPr>
        <w:t>检测机构</w:t>
      </w:r>
      <w:r>
        <w:rPr>
          <w:rFonts w:hint="default" w:ascii="Times New Roman" w:hAnsi="Times New Roman" w:eastAsia="仿宋_GB2312" w:cs="Times New Roman"/>
          <w:color w:val="auto"/>
          <w:spacing w:val="-6"/>
          <w:sz w:val="32"/>
          <w:szCs w:val="32"/>
          <w:lang w:val="en-US" w:eastAsia="zh-CN"/>
        </w:rPr>
        <w:t>技术负责人审核确认后应用黑色的钢笔或碳素笔签署。</w:t>
      </w:r>
    </w:p>
    <w:p>
      <w:pPr>
        <w:pStyle w:val="5"/>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color w:val="auto"/>
          <w:kern w:val="2"/>
          <w:sz w:val="32"/>
          <w:szCs w:val="32"/>
          <w:lang w:val="en-US" w:eastAsia="zh-CN" w:bidi="ar-SA"/>
        </w:rPr>
      </w:pPr>
      <w:r>
        <w:rPr>
          <w:rFonts w:hint="default" w:ascii="Times New Roman" w:hAnsi="Times New Roman" w:eastAsia="黑体" w:cs="Times New Roman"/>
          <w:b/>
          <w:color w:val="auto"/>
          <w:kern w:val="2"/>
          <w:sz w:val="32"/>
          <w:szCs w:val="32"/>
          <w:lang w:val="en-US" w:eastAsia="zh-CN" w:bidi="ar-SA"/>
        </w:rPr>
        <w:t>注意事项：使用电子签名的，应符合《中华人民共和国电子签名法》相关规定，取得电子认证，签署时电子签名制作数据仅由电子签名人控制，签署后对电子签名的任何改动能够被发现。</w:t>
      </w:r>
    </w:p>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jc w:val="left"/>
        <w:textAlignment w:val="auto"/>
        <w:rPr>
          <w:rFonts w:hint="default" w:ascii="Times New Roman" w:hAnsi="Times New Roman" w:eastAsia="黑体" w:cs="Times New Roman"/>
          <w:color w:val="auto"/>
          <w:sz w:val="32"/>
          <w:szCs w:val="32"/>
          <w:lang w:val="en-US" w:eastAsia="zh-CN"/>
        </w:rPr>
      </w:pPr>
      <w:bookmarkStart w:id="138" w:name="_Toc12211"/>
      <w:bookmarkStart w:id="139" w:name="_Toc22528"/>
      <w:bookmarkStart w:id="140" w:name="_Toc8576"/>
      <w:r>
        <w:rPr>
          <w:rFonts w:hint="default" w:ascii="Times New Roman" w:hAnsi="Times New Roman" w:eastAsia="黑体" w:cs="Times New Roman"/>
          <w:color w:val="auto"/>
          <w:sz w:val="32"/>
          <w:szCs w:val="32"/>
          <w:lang w:val="en-US" w:eastAsia="zh-CN"/>
        </w:rPr>
        <w:t>11 附表</w:t>
      </w:r>
      <w:bookmarkEnd w:id="138"/>
      <w:bookmarkEnd w:id="139"/>
      <w:bookmarkEnd w:id="140"/>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附表a、b中“测量数据”均为按照</w:t>
      </w:r>
      <w:r>
        <w:rPr>
          <w:rFonts w:hint="eastAsia" w:eastAsia="仿宋_GB2312" w:cs="Times New Roman"/>
          <w:color w:val="auto"/>
          <w:sz w:val="32"/>
          <w:szCs w:val="32"/>
          <w:lang w:val="en-US" w:eastAsia="zh-CN"/>
        </w:rPr>
        <w:t>GB/T 21431—2023</w:t>
      </w:r>
      <w:r>
        <w:rPr>
          <w:rFonts w:hint="default" w:ascii="Times New Roman" w:hAnsi="Times New Roman" w:eastAsia="仿宋_GB2312" w:cs="Times New Roman"/>
          <w:color w:val="auto"/>
          <w:sz w:val="32"/>
          <w:szCs w:val="32"/>
          <w:lang w:val="en-US" w:eastAsia="zh-CN"/>
        </w:rPr>
        <w:t>附录K规定处理后的修约数据。</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41" w:name="_Toc32642"/>
      <w:bookmarkStart w:id="142" w:name="_Toc10861"/>
      <w:r>
        <w:rPr>
          <w:rFonts w:hint="eastAsia" w:ascii="黑体" w:hAnsi="黑体" w:eastAsia="黑体" w:cs="黑体"/>
          <w:b w:val="0"/>
          <w:bCs w:val="0"/>
          <w:color w:val="auto"/>
          <w:lang w:val="en-US" w:eastAsia="zh-CN"/>
        </w:rPr>
        <w:t>11.1 附表a</w:t>
      </w:r>
      <w:bookmarkEnd w:id="141"/>
      <w:bookmarkEnd w:id="142"/>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检测点名称：</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被测装置名称，如接地端子、接闪带、断接卡、配电箱、MEB、LEB、接闪杆等。</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连接材料和规格（mm/mm²）：</w:t>
      </w:r>
      <w:r>
        <w:rPr>
          <w:rFonts w:hint="eastAsia" w:ascii="Times New Roman" w:hAnsi="Times New Roman" w:eastAsia="仿宋_GB2312" w:cs="Times New Roman"/>
          <w:color w:val="auto"/>
          <w:sz w:val="32"/>
          <w:szCs w:val="32"/>
          <w:lang w:val="en-US" w:eastAsia="zh-CN"/>
        </w:rPr>
        <w:t>填写</w:t>
      </w:r>
      <w:r>
        <w:rPr>
          <w:rFonts w:hint="default" w:ascii="Times New Roman" w:hAnsi="Times New Roman" w:eastAsia="仿宋_GB2312" w:cs="Times New Roman"/>
          <w:color w:val="auto"/>
          <w:sz w:val="32"/>
          <w:szCs w:val="32"/>
          <w:lang w:val="en-US" w:eastAsia="zh-CN"/>
        </w:rPr>
        <w:t>材料简写字母，直径和截面积修约后的值，例：Fe/φ=12、Cu/S=90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Fe/-40×4。</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43" w:name="_Toc10229"/>
      <w:bookmarkStart w:id="144" w:name="_Toc30587"/>
      <w:r>
        <w:rPr>
          <w:rFonts w:hint="eastAsia" w:ascii="黑体" w:hAnsi="黑体" w:eastAsia="黑体" w:cs="黑体"/>
          <w:b w:val="0"/>
          <w:bCs w:val="0"/>
          <w:color w:val="auto"/>
          <w:lang w:val="en-US" w:eastAsia="zh-CN"/>
        </w:rPr>
        <w:t>11.2 附表b</w:t>
      </w:r>
      <w:bookmarkEnd w:id="143"/>
      <w:bookmarkEnd w:id="144"/>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基准点/检测点名称：</w:t>
      </w:r>
      <w:r>
        <w:rPr>
          <w:rFonts w:hint="default" w:ascii="Times New Roman" w:hAnsi="Times New Roman" w:eastAsia="仿宋_GB2312" w:cs="Times New Roman"/>
          <w:b w:val="0"/>
          <w:bCs w:val="0"/>
          <w:color w:val="auto"/>
          <w:sz w:val="32"/>
          <w:szCs w:val="32"/>
          <w:lang w:val="en-US" w:eastAsia="zh-CN"/>
        </w:rPr>
        <w:t>基准点名称选定后相对固定，与该基准点</w:t>
      </w:r>
      <w:r>
        <w:rPr>
          <w:rFonts w:hint="eastAsia" w:ascii="Times New Roman" w:hAnsi="Times New Roman" w:eastAsia="仿宋_GB2312" w:cs="Times New Roman"/>
          <w:b w:val="0"/>
          <w:bCs w:val="0"/>
          <w:color w:val="auto"/>
          <w:sz w:val="32"/>
          <w:szCs w:val="32"/>
          <w:lang w:val="en-US" w:eastAsia="zh-CN"/>
        </w:rPr>
        <w:t>测量</w:t>
      </w:r>
      <w:r>
        <w:rPr>
          <w:rFonts w:hint="default" w:ascii="Times New Roman" w:hAnsi="Times New Roman" w:eastAsia="仿宋_GB2312" w:cs="Times New Roman"/>
          <w:b w:val="0"/>
          <w:bCs w:val="0"/>
          <w:color w:val="auto"/>
          <w:sz w:val="32"/>
          <w:szCs w:val="32"/>
          <w:lang w:val="en-US" w:eastAsia="zh-CN"/>
        </w:rPr>
        <w:t>的过渡电阻，当基准点不变时，基准点</w:t>
      </w:r>
      <w:r>
        <w:rPr>
          <w:rFonts w:hint="eastAsia" w:ascii="Times New Roman" w:hAnsi="Times New Roman" w:eastAsia="仿宋_GB2312" w:cs="Times New Roman"/>
          <w:b w:val="0"/>
          <w:bCs w:val="0"/>
          <w:color w:val="auto"/>
          <w:sz w:val="32"/>
          <w:szCs w:val="32"/>
          <w:lang w:val="en-US" w:eastAsia="zh-CN"/>
        </w:rPr>
        <w:t>名称可</w:t>
      </w:r>
      <w:r>
        <w:rPr>
          <w:rFonts w:hint="default" w:ascii="Times New Roman" w:hAnsi="Times New Roman" w:eastAsia="仿宋_GB2312" w:cs="Times New Roman"/>
          <w:b w:val="0"/>
          <w:bCs w:val="0"/>
          <w:color w:val="auto"/>
          <w:sz w:val="32"/>
          <w:szCs w:val="32"/>
          <w:lang w:val="en-US" w:eastAsia="zh-CN"/>
        </w:rPr>
        <w:t>在开始</w:t>
      </w:r>
      <w:r>
        <w:rPr>
          <w:rFonts w:hint="eastAsia" w:ascii="Times New Roman" w:hAnsi="Times New Roman" w:eastAsia="仿宋_GB2312" w:cs="Times New Roman"/>
          <w:b w:val="0"/>
          <w:bCs w:val="0"/>
          <w:color w:val="auto"/>
          <w:sz w:val="32"/>
          <w:szCs w:val="32"/>
          <w:lang w:val="en-US" w:eastAsia="zh-CN"/>
        </w:rPr>
        <w:t>时只写</w:t>
      </w:r>
      <w:r>
        <w:rPr>
          <w:rFonts w:hint="default" w:ascii="Times New Roman" w:hAnsi="Times New Roman" w:eastAsia="仿宋_GB2312" w:cs="Times New Roman"/>
          <w:b w:val="0"/>
          <w:bCs w:val="0"/>
          <w:color w:val="auto"/>
          <w:sz w:val="32"/>
          <w:szCs w:val="32"/>
          <w:lang w:val="en-US" w:eastAsia="zh-CN"/>
        </w:rPr>
        <w:t>一次，当基准点改变时，与前述</w:t>
      </w:r>
      <w:r>
        <w:rPr>
          <w:rFonts w:hint="eastAsia" w:ascii="Times New Roman" w:hAnsi="Times New Roman" w:eastAsia="仿宋_GB2312" w:cs="Times New Roman"/>
          <w:b w:val="0"/>
          <w:bCs w:val="0"/>
          <w:color w:val="auto"/>
          <w:sz w:val="32"/>
          <w:szCs w:val="32"/>
          <w:lang w:val="en-US" w:eastAsia="zh-CN"/>
        </w:rPr>
        <w:t>填写</w:t>
      </w:r>
      <w:r>
        <w:rPr>
          <w:rFonts w:hint="default" w:ascii="Times New Roman" w:hAnsi="Times New Roman" w:eastAsia="仿宋_GB2312" w:cs="Times New Roman"/>
          <w:b w:val="0"/>
          <w:bCs w:val="0"/>
          <w:color w:val="auto"/>
          <w:sz w:val="32"/>
          <w:szCs w:val="32"/>
          <w:lang w:val="en-US" w:eastAsia="zh-CN"/>
        </w:rPr>
        <w:t>方法相同。</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连接导体材料规格</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mm/mm²</w:t>
      </w:r>
      <w:r>
        <w:rPr>
          <w:rFonts w:hint="eastAsia"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填写</w:t>
      </w:r>
      <w:r>
        <w:rPr>
          <w:rFonts w:hint="default" w:ascii="Times New Roman" w:hAnsi="Times New Roman" w:eastAsia="仿宋_GB2312" w:cs="Times New Roman"/>
          <w:b w:val="0"/>
          <w:bCs w:val="0"/>
          <w:color w:val="auto"/>
          <w:sz w:val="32"/>
          <w:szCs w:val="32"/>
          <w:lang w:val="en-US" w:eastAsia="zh-CN"/>
        </w:rPr>
        <w:t>材料简写字母，直径和截面积修约后的值，例：Fe/φ=12、Cu/S=90</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Fe/-40×4；当现场连接导体暗敷或利用基础钢筋连接时，材料写自身（指设备机壳、金属构件等）例：Fe/自身。</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default" w:ascii="Times New Roman" w:hAnsi="Times New Roman" w:eastAsia="仿宋_GB2312" w:cs="Times New Roman"/>
          <w:b w:val="0"/>
          <w:bCs w:val="0"/>
          <w:color w:val="auto"/>
          <w:spacing w:val="-6"/>
          <w:sz w:val="32"/>
          <w:szCs w:val="32"/>
          <w:lang w:val="en-US" w:eastAsia="zh-CN"/>
        </w:rPr>
      </w:pPr>
      <w:r>
        <w:rPr>
          <w:rFonts w:hint="default" w:ascii="Times New Roman" w:hAnsi="Times New Roman" w:eastAsia="仿宋_GB2312" w:cs="Times New Roman"/>
          <w:b/>
          <w:bCs/>
          <w:color w:val="auto"/>
          <w:sz w:val="32"/>
          <w:szCs w:val="32"/>
          <w:lang w:val="en-US" w:eastAsia="zh-CN"/>
        </w:rPr>
        <w:t>连接工艺：</w:t>
      </w:r>
      <w:r>
        <w:rPr>
          <w:rFonts w:hint="eastAsia" w:ascii="Times New Roman" w:hAnsi="Times New Roman" w:eastAsia="仿宋_GB2312" w:cs="Times New Roman"/>
          <w:b w:val="0"/>
          <w:bCs w:val="0"/>
          <w:color w:val="auto"/>
          <w:sz w:val="32"/>
          <w:szCs w:val="32"/>
          <w:lang w:val="en-US" w:eastAsia="zh-CN"/>
        </w:rPr>
        <w:t>填</w:t>
      </w:r>
      <w:r>
        <w:rPr>
          <w:rFonts w:hint="default" w:ascii="Times New Roman" w:hAnsi="Times New Roman" w:eastAsia="仿宋_GB2312" w:cs="Times New Roman"/>
          <w:b w:val="0"/>
          <w:bCs w:val="0"/>
          <w:color w:val="auto"/>
          <w:sz w:val="32"/>
          <w:szCs w:val="32"/>
          <w:lang w:val="en-US" w:eastAsia="zh-CN"/>
        </w:rPr>
        <w:t>焊接、绑扎、卡接器连接；铜锌合金焊、熔焊、卷边压接、机械、缝接、螺钉、螺栓螺母</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连接端子等</w:t>
      </w:r>
      <w:r>
        <w:rPr>
          <w:rFonts w:hint="eastAsia"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pacing w:val="-6"/>
          <w:sz w:val="32"/>
          <w:szCs w:val="32"/>
          <w:lang w:val="en-US" w:eastAsia="zh-CN"/>
        </w:rPr>
        <w:t>当采用暗敷时，通过外壳螺栓等测得的数据合格时，</w:t>
      </w:r>
      <w:r>
        <w:rPr>
          <w:rFonts w:hint="eastAsia" w:ascii="Times New Roman" w:hAnsi="Times New Roman" w:eastAsia="仿宋_GB2312" w:cs="Times New Roman"/>
          <w:b w:val="0"/>
          <w:bCs w:val="0"/>
          <w:color w:val="auto"/>
          <w:spacing w:val="-6"/>
          <w:sz w:val="32"/>
          <w:szCs w:val="32"/>
          <w:lang w:val="en-US" w:eastAsia="zh-CN"/>
        </w:rPr>
        <w:t>填写</w:t>
      </w:r>
      <w:r>
        <w:rPr>
          <w:rFonts w:hint="default" w:ascii="Times New Roman" w:hAnsi="Times New Roman" w:eastAsia="仿宋_GB2312" w:cs="Times New Roman"/>
          <w:b w:val="0"/>
          <w:bCs w:val="0"/>
          <w:color w:val="auto"/>
          <w:spacing w:val="-6"/>
          <w:sz w:val="32"/>
          <w:szCs w:val="32"/>
          <w:lang w:val="en-US" w:eastAsia="zh-CN"/>
        </w:rPr>
        <w:t>螺钉。</w:t>
      </w:r>
    </w:p>
    <w:tbl>
      <w:tblPr>
        <w:tblStyle w:val="18"/>
        <w:tblpPr w:leftFromText="180" w:rightFromText="180" w:vertAnchor="text" w:horzAnchor="page" w:tblpX="1807" w:tblpY="612"/>
        <w:tblOverlap w:val="never"/>
        <w:tblW w:w="893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4"/>
        <w:gridCol w:w="2909"/>
        <w:gridCol w:w="3015"/>
        <w:gridCol w:w="22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trPr>
        <w:tc>
          <w:tcPr>
            <w:tcW w:w="784" w:type="dxa"/>
            <w:tcBorders>
              <w:tl2br w:val="nil"/>
              <w:tr2bl w:val="nil"/>
            </w:tcBorders>
            <w:vAlign w:val="center"/>
          </w:tcPr>
          <w:p>
            <w:pPr>
              <w:pStyle w:val="5"/>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序号</w:t>
            </w:r>
          </w:p>
        </w:tc>
        <w:tc>
          <w:tcPr>
            <w:tcW w:w="2909" w:type="dxa"/>
            <w:tcBorders>
              <w:tl2br w:val="nil"/>
              <w:tr2bl w:val="nil"/>
            </w:tcBorders>
            <w:vAlign w:val="center"/>
          </w:tcPr>
          <w:p>
            <w:pPr>
              <w:pStyle w:val="5"/>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基准点/检测点名称</w:t>
            </w:r>
          </w:p>
        </w:tc>
        <w:tc>
          <w:tcPr>
            <w:tcW w:w="3015" w:type="dxa"/>
            <w:tcBorders>
              <w:tl2br w:val="nil"/>
              <w:tr2bl w:val="nil"/>
            </w:tcBorders>
            <w:vAlign w:val="center"/>
          </w:tcPr>
          <w:p>
            <w:pPr>
              <w:pStyle w:val="5"/>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eastAsia="仿宋_GB2312" w:cs="Times New Roman"/>
                <w:color w:val="auto"/>
                <w:kern w:val="2"/>
                <w:sz w:val="28"/>
                <w:szCs w:val="28"/>
                <w:vertAlign w:val="baseline"/>
                <w:lang w:val="en-US" w:eastAsia="zh-CN" w:bidi="ar-SA"/>
              </w:rPr>
              <w:t>连接导体材料规格</w:t>
            </w:r>
            <w:r>
              <w:rPr>
                <w:rFonts w:hint="eastAsia" w:eastAsia="仿宋_GB2312" w:cs="Times New Roman"/>
                <w:color w:val="auto"/>
                <w:kern w:val="2"/>
                <w:sz w:val="28"/>
                <w:szCs w:val="28"/>
                <w:vertAlign w:val="baseline"/>
                <w:lang w:val="en-US" w:eastAsia="zh-CN" w:bidi="ar-SA"/>
              </w:rPr>
              <w:t>（</w:t>
            </w:r>
            <w:r>
              <w:rPr>
                <w:rFonts w:hint="default" w:eastAsia="仿宋_GB2312" w:cs="Times New Roman"/>
                <w:color w:val="auto"/>
                <w:kern w:val="2"/>
                <w:sz w:val="28"/>
                <w:szCs w:val="28"/>
                <w:vertAlign w:val="baseline"/>
                <w:lang w:val="en-US" w:eastAsia="zh-CN" w:bidi="ar-SA"/>
              </w:rPr>
              <w:t>mm/mm²</w:t>
            </w:r>
            <w:r>
              <w:rPr>
                <w:rFonts w:hint="eastAsia" w:eastAsia="仿宋_GB2312" w:cs="Times New Roman"/>
                <w:color w:val="auto"/>
                <w:kern w:val="2"/>
                <w:sz w:val="28"/>
                <w:szCs w:val="28"/>
                <w:vertAlign w:val="baseline"/>
                <w:lang w:val="en-US" w:eastAsia="zh-CN" w:bidi="ar-SA"/>
              </w:rPr>
              <w:t>）</w:t>
            </w:r>
          </w:p>
        </w:tc>
        <w:tc>
          <w:tcPr>
            <w:tcW w:w="2229" w:type="dxa"/>
            <w:tcBorders>
              <w:tl2br w:val="nil"/>
              <w:tr2bl w:val="nil"/>
            </w:tcBorders>
            <w:vAlign w:val="center"/>
          </w:tcPr>
          <w:p>
            <w:pPr>
              <w:pStyle w:val="5"/>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连接工艺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1</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接地测试点/接闪带1</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Fe/φ=12</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焊接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2</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接闪带2</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Fe/φ=12</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焊接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3</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太阳能热水器</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Fe/-40×4</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焊接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4</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电梯间配电箱</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Cu/S=16</w:t>
            </w:r>
            <w:r>
              <w:rPr>
                <w:rFonts w:hint="eastAsia" w:eastAsia="仿宋_GB2312" w:cs="Times New Roman"/>
                <w:color w:val="auto"/>
                <w:kern w:val="2"/>
                <w:sz w:val="28"/>
                <w:szCs w:val="28"/>
                <w:vertAlign w:val="baseline"/>
                <w:lang w:val="en-US" w:eastAsia="zh-CN" w:bidi="ar-SA"/>
              </w:rPr>
              <w:t>,</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eastAsia="仿宋_GB2312" w:cs="Times New Roman"/>
                <w:color w:val="auto"/>
                <w:kern w:val="2"/>
                <w:sz w:val="28"/>
                <w:szCs w:val="28"/>
                <w:vertAlign w:val="baseline"/>
                <w:lang w:val="en-US" w:eastAsia="zh-CN" w:bidi="ar-SA"/>
              </w:rPr>
            </w:pPr>
            <w:r>
              <w:rPr>
                <w:rFonts w:hint="default" w:eastAsia="仿宋_GB2312" w:cs="Times New Roman"/>
                <w:color w:val="auto"/>
                <w:kern w:val="2"/>
                <w:sz w:val="28"/>
                <w:szCs w:val="28"/>
                <w:vertAlign w:val="baseline"/>
                <w:lang w:val="en-US" w:eastAsia="zh-CN" w:bidi="ar-SA"/>
              </w:rPr>
              <w:t>螺栓螺母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5</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MEB</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Cu/-40×4</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eastAsia="仿宋_GB2312" w:cs="Times New Roman"/>
                <w:color w:val="auto"/>
                <w:kern w:val="2"/>
                <w:sz w:val="28"/>
                <w:szCs w:val="28"/>
                <w:vertAlign w:val="baseline"/>
                <w:lang w:val="en-US" w:eastAsia="zh-CN" w:bidi="ar-SA"/>
              </w:rPr>
              <w:t>螺栓螺母</w:t>
            </w:r>
            <w:r>
              <w:rPr>
                <w:rFonts w:hint="eastAsia" w:eastAsia="仿宋_GB2312" w:cs="Times New Roman"/>
                <w:color w:val="auto"/>
                <w:kern w:val="2"/>
                <w:sz w:val="28"/>
                <w:szCs w:val="28"/>
                <w:vertAlign w:val="baseline"/>
                <w:lang w:val="en-US" w:eastAsia="zh-CN" w:bidi="ar-SA"/>
              </w:rPr>
              <w:t>/压接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6</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MEB/进线管</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Cu/S=50</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压接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7</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机房配电箱</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Cu/-40×4</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压接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784" w:type="dxa"/>
            <w:tcBorders>
              <w:tl2br w:val="nil"/>
              <w:tr2bl w:val="nil"/>
            </w:tcBorders>
            <w:shd w:val="clear" w:color="auto" w:fill="auto"/>
            <w:vAlign w:val="top"/>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8</w:t>
            </w:r>
          </w:p>
        </w:tc>
        <w:tc>
          <w:tcPr>
            <w:tcW w:w="290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静电地板支架</w:t>
            </w:r>
          </w:p>
        </w:tc>
        <w:tc>
          <w:tcPr>
            <w:tcW w:w="3015"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default" w:ascii="Times New Roman" w:hAnsi="Times New Roman" w:eastAsia="仿宋_GB2312" w:cs="Times New Roman"/>
                <w:color w:val="auto"/>
                <w:kern w:val="2"/>
                <w:sz w:val="28"/>
                <w:szCs w:val="28"/>
                <w:vertAlign w:val="baseline"/>
                <w:lang w:val="en-US" w:eastAsia="zh-CN" w:bidi="ar-SA"/>
              </w:rPr>
              <w:t>Cu/S=10</w:t>
            </w:r>
          </w:p>
        </w:tc>
        <w:tc>
          <w:tcPr>
            <w:tcW w:w="2229" w:type="dxa"/>
            <w:tcBorders>
              <w:tl2br w:val="nil"/>
              <w:tr2bl w:val="nil"/>
            </w:tcBorders>
          </w:tcPr>
          <w:p>
            <w:pPr>
              <w:pStyle w:val="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仿宋_GB2312" w:cs="Times New Roman"/>
                <w:color w:val="auto"/>
                <w:kern w:val="2"/>
                <w:sz w:val="28"/>
                <w:szCs w:val="28"/>
                <w:vertAlign w:val="baseline"/>
                <w:lang w:val="en-US" w:eastAsia="zh-CN" w:bidi="ar-SA"/>
              </w:rPr>
            </w:pPr>
            <w:r>
              <w:rPr>
                <w:rFonts w:hint="eastAsia" w:eastAsia="仿宋_GB2312" w:cs="Times New Roman"/>
                <w:color w:val="auto"/>
                <w:kern w:val="2"/>
                <w:sz w:val="28"/>
                <w:szCs w:val="28"/>
                <w:vertAlign w:val="baseline"/>
                <w:lang w:val="en-US" w:eastAsia="zh-CN" w:bidi="ar-SA"/>
              </w:rPr>
              <w:t>压接</w:t>
            </w:r>
          </w:p>
        </w:tc>
      </w:tr>
    </w:tbl>
    <w:p>
      <w:pPr>
        <w:keepNext w:val="0"/>
        <w:keepLines w:val="0"/>
        <w:pageBreakBefore w:val="0"/>
        <w:kinsoku/>
        <w:wordWrap/>
        <w:overflowPunct/>
        <w:topLinePunct w:val="0"/>
        <w:bidi w:val="0"/>
        <w:adjustRightInd/>
        <w:spacing w:line="360" w:lineRule="auto"/>
        <w:ind w:firstLine="640" w:firstLineChars="200"/>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val="0"/>
          <w:bCs w:val="0"/>
          <w:color w:val="auto"/>
          <w:sz w:val="32"/>
          <w:szCs w:val="32"/>
          <w:lang w:val="en-US" w:eastAsia="zh-CN"/>
        </w:rPr>
        <w:t>示例：</w:t>
      </w:r>
    </w:p>
    <w:p>
      <w:pPr>
        <w:pStyle w:val="2"/>
        <w:keepNext/>
        <w:keepLines/>
        <w:pageBreakBefore w:val="0"/>
        <w:widowControl w:val="0"/>
        <w:kinsoku/>
        <w:wordWrap/>
        <w:overflowPunct/>
        <w:topLinePunct w:val="0"/>
        <w:autoSpaceDE/>
        <w:autoSpaceDN/>
        <w:bidi w:val="0"/>
        <w:adjustRightInd/>
        <w:snapToGrid/>
        <w:spacing w:before="157" w:beforeLines="50" w:after="157" w:afterLines="50" w:line="560" w:lineRule="exact"/>
        <w:jc w:val="left"/>
        <w:textAlignment w:val="auto"/>
        <w:rPr>
          <w:rFonts w:hint="default" w:ascii="Times New Roman" w:hAnsi="Times New Roman" w:eastAsia="黑体" w:cs="Times New Roman"/>
          <w:color w:val="auto"/>
          <w:sz w:val="32"/>
          <w:szCs w:val="32"/>
          <w:lang w:val="en-US" w:eastAsia="zh-CN"/>
        </w:rPr>
      </w:pPr>
      <w:bookmarkStart w:id="145" w:name="_Toc14886"/>
      <w:bookmarkStart w:id="146" w:name="_Toc31903"/>
      <w:bookmarkStart w:id="147" w:name="_Toc30786"/>
      <w:r>
        <w:rPr>
          <w:rFonts w:hint="default" w:ascii="Times New Roman" w:hAnsi="Times New Roman" w:eastAsia="黑体" w:cs="Times New Roman"/>
          <w:color w:val="auto"/>
          <w:sz w:val="32"/>
          <w:szCs w:val="32"/>
          <w:lang w:val="en-US" w:eastAsia="zh-CN"/>
        </w:rPr>
        <w:t>12 雷电防护装置安全问题隐患现场照片及说明</w:t>
      </w:r>
      <w:bookmarkEnd w:id="145"/>
      <w:bookmarkEnd w:id="146"/>
      <w:bookmarkEnd w:id="147"/>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根据检测现场的实际情况，将雷电防护装置隐患现场照片和说明填写入本表。若检测对象是涉密场所，可不拍照，但必须用文字准确描述雷电防护装置存在的安全问题隐患情况。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val="0"/>
          <w:bCs w:val="0"/>
          <w:color w:val="auto"/>
          <w:sz w:val="32"/>
          <w:szCs w:val="32"/>
          <w:lang w:val="en-US" w:eastAsia="zh-CN"/>
        </w:rPr>
        <w:t>示例</w:t>
      </w:r>
      <w:r>
        <w:rPr>
          <w:rFonts w:hint="default" w:ascii="Times New Roman" w:hAnsi="Times New Roman" w:eastAsia="楷体" w:cs="Times New Roman"/>
          <w:b/>
          <w:bCs/>
          <w:color w:val="auto"/>
          <w:sz w:val="32"/>
          <w:szCs w:val="32"/>
          <w:lang w:val="en-US" w:eastAsia="zh-CN"/>
        </w:rPr>
        <w:t>：</w:t>
      </w:r>
      <w:r>
        <w:rPr>
          <w:rFonts w:hint="default" w:ascii="Times New Roman" w:hAnsi="Times New Roman" w:eastAsia="仿宋_GB2312" w:cs="Times New Roman"/>
          <w:color w:val="auto"/>
          <w:kern w:val="2"/>
          <w:sz w:val="32"/>
          <w:szCs w:val="32"/>
          <w:lang w:val="en-US" w:eastAsia="zh-CN" w:bidi="ar-SA"/>
        </w:rPr>
        <w:t>雷电防护装置安全问题隐患现场照片及说明</w:t>
      </w:r>
    </w:p>
    <w:tbl>
      <w:tblPr>
        <w:tblStyle w:val="18"/>
        <w:tblW w:w="94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4551"/>
        <w:gridCol w:w="39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trPr>
        <w:tc>
          <w:tcPr>
            <w:tcW w:w="1003" w:type="dxa"/>
            <w:tcBorders>
              <w:tl2br w:val="nil"/>
              <w:tr2bl w:val="nil"/>
            </w:tcBorders>
          </w:tcPr>
          <w:p>
            <w:pPr>
              <w:pStyle w:val="5"/>
              <w:numPr>
                <w:ilvl w:val="0"/>
                <w:numId w:val="0"/>
              </w:numPr>
              <w:spacing w:line="360" w:lineRule="auto"/>
              <w:jc w:val="center"/>
              <w:rPr>
                <w:rFonts w:hint="default" w:ascii="Times New Roman" w:hAnsi="Times New Roman" w:eastAsia="仿宋_GB2312" w:cs="Times New Roman"/>
                <w:b/>
                <w:bCs/>
                <w:color w:val="auto"/>
                <w:kern w:val="2"/>
                <w:sz w:val="21"/>
                <w:szCs w:val="21"/>
                <w:vertAlign w:val="baseli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编号</w:t>
            </w:r>
          </w:p>
        </w:tc>
        <w:tc>
          <w:tcPr>
            <w:tcW w:w="4551" w:type="dxa"/>
            <w:tcBorders>
              <w:tl2br w:val="nil"/>
              <w:tr2bl w:val="nil"/>
            </w:tcBorders>
          </w:tcPr>
          <w:p>
            <w:pPr>
              <w:pStyle w:val="5"/>
              <w:numPr>
                <w:ilvl w:val="0"/>
                <w:numId w:val="0"/>
              </w:numPr>
              <w:spacing w:line="360" w:lineRule="auto"/>
              <w:jc w:val="center"/>
              <w:rPr>
                <w:rFonts w:hint="default" w:ascii="Times New Roman" w:hAnsi="Times New Roman" w:eastAsia="仿宋_GB2312" w:cs="Times New Roman"/>
                <w:b/>
                <w:bCs/>
                <w:color w:val="auto"/>
                <w:kern w:val="2"/>
                <w:sz w:val="21"/>
                <w:szCs w:val="21"/>
                <w:vertAlign w:val="baseli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隐患照片</w:t>
            </w:r>
          </w:p>
        </w:tc>
        <w:tc>
          <w:tcPr>
            <w:tcW w:w="3924" w:type="dxa"/>
            <w:tcBorders>
              <w:tl2br w:val="nil"/>
              <w:tr2bl w:val="nil"/>
            </w:tcBorders>
          </w:tcPr>
          <w:p>
            <w:pPr>
              <w:pStyle w:val="5"/>
              <w:numPr>
                <w:ilvl w:val="0"/>
                <w:numId w:val="0"/>
              </w:numPr>
              <w:spacing w:line="360" w:lineRule="auto"/>
              <w:jc w:val="center"/>
              <w:rPr>
                <w:rFonts w:hint="default" w:ascii="Times New Roman" w:hAnsi="Times New Roman" w:eastAsia="仿宋_GB2312" w:cs="Times New Roman"/>
                <w:b/>
                <w:bCs/>
                <w:color w:val="auto"/>
                <w:kern w:val="2"/>
                <w:sz w:val="21"/>
                <w:szCs w:val="21"/>
                <w:vertAlign w:val="baseline"/>
                <w:lang w:val="en-US" w:eastAsia="zh-CN" w:bidi="ar-SA"/>
              </w:rPr>
            </w:pPr>
            <w:r>
              <w:rPr>
                <w:rFonts w:hint="default" w:ascii="Times New Roman" w:hAnsi="Times New Roman" w:eastAsia="仿宋_GB2312" w:cs="Times New Roman"/>
                <w:b/>
                <w:bCs/>
                <w:color w:val="auto"/>
                <w:kern w:val="2"/>
                <w:sz w:val="21"/>
                <w:szCs w:val="21"/>
                <w:vertAlign w:val="baseline"/>
                <w:lang w:val="en-US" w:eastAsia="zh-CN" w:bidi="ar-SA"/>
              </w:rPr>
              <w:t>说   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33" w:hRule="atLeast"/>
        </w:trPr>
        <w:tc>
          <w:tcPr>
            <w:tcW w:w="1003" w:type="dxa"/>
            <w:tcBorders>
              <w:tl2br w:val="nil"/>
              <w:tr2bl w:val="nil"/>
            </w:tcBorders>
            <w:vAlign w:val="center"/>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21"/>
                <w:szCs w:val="21"/>
                <w:vertAlign w:val="baseline"/>
                <w:lang w:val="en-US" w:eastAsia="zh-CN" w:bidi="ar-SA"/>
              </w:rPr>
              <w:t>1</w:t>
            </w:r>
          </w:p>
        </w:tc>
        <w:tc>
          <w:tcPr>
            <w:tcW w:w="4551" w:type="dxa"/>
            <w:tcBorders>
              <w:tl2br w:val="nil"/>
              <w:tr2bl w:val="nil"/>
            </w:tcBorders>
            <w:vAlign w:val="center"/>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21"/>
                <w:szCs w:val="21"/>
                <w:vertAlign w:val="baseline"/>
                <w:lang w:val="en-US" w:eastAsia="zh-CN" w:bidi="ar-SA"/>
              </w:rPr>
              <w:drawing>
                <wp:inline distT="0" distB="0" distL="114300" distR="114300">
                  <wp:extent cx="2628265" cy="1667510"/>
                  <wp:effectExtent l="0" t="0" r="635" b="8890"/>
                  <wp:docPr id="9" name="图片 9" descr="ScreenShot_2026-05-25_152721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creenShot_2026-05-25_152721_020"/>
                          <pic:cNvPicPr>
                            <a:picLocks noChangeAspect="1"/>
                          </pic:cNvPicPr>
                        </pic:nvPicPr>
                        <pic:blipFill>
                          <a:blip r:embed="rId20"/>
                          <a:stretch>
                            <a:fillRect/>
                          </a:stretch>
                        </pic:blipFill>
                        <pic:spPr>
                          <a:xfrm>
                            <a:off x="0" y="0"/>
                            <a:ext cx="2628265" cy="1667510"/>
                          </a:xfrm>
                          <a:prstGeom prst="rect">
                            <a:avLst/>
                          </a:prstGeom>
                        </pic:spPr>
                      </pic:pic>
                    </a:graphicData>
                  </a:graphic>
                </wp:inline>
              </w:drawing>
            </w:r>
          </w:p>
        </w:tc>
        <w:tc>
          <w:tcPr>
            <w:tcW w:w="3924" w:type="dxa"/>
            <w:tcBorders>
              <w:tl2br w:val="nil"/>
              <w:tr2bl w:val="nil"/>
            </w:tcBorders>
          </w:tcPr>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1.接闪器安装位置达不到安全距离要求。</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2.接闪器高度不足，不能覆盖被保护</w:t>
            </w:r>
            <w:r>
              <w:rPr>
                <w:rFonts w:hint="eastAsia" w:eastAsia="仿宋_GB2312" w:cs="Times New Roman"/>
                <w:color w:val="auto"/>
                <w:kern w:val="2"/>
                <w:sz w:val="18"/>
                <w:szCs w:val="18"/>
                <w:vertAlign w:val="baseline"/>
                <w:lang w:val="en-US" w:eastAsia="zh-CN" w:bidi="ar-SA"/>
              </w:rPr>
              <w:t>设备</w:t>
            </w:r>
            <w:r>
              <w:rPr>
                <w:rFonts w:hint="default" w:ascii="Times New Roman" w:hAnsi="Times New Roman" w:eastAsia="仿宋_GB2312" w:cs="Times New Roman"/>
                <w:color w:val="auto"/>
                <w:kern w:val="2"/>
                <w:sz w:val="18"/>
                <w:szCs w:val="18"/>
                <w:vertAlign w:val="baseline"/>
                <w:lang w:val="en-US" w:eastAsia="zh-CN" w:bidi="ar-SA"/>
              </w:rPr>
              <w:t>。</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3.焊接长度不达标。</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4.焊接点未做防腐处理。</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5.未安装警示牌。</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6.未做接触电压和跨步电压处理。</w:t>
            </w:r>
          </w:p>
          <w:p>
            <w:pPr>
              <w:pStyle w:val="5"/>
              <w:numPr>
                <w:ilvl w:val="0"/>
                <w:numId w:val="0"/>
              </w:numPr>
              <w:spacing w:line="360" w:lineRule="auto"/>
              <w:jc w:val="left"/>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7.接地电阻</w:t>
            </w:r>
            <w:r>
              <w:rPr>
                <w:rFonts w:hint="eastAsia" w:eastAsia="仿宋_GB2312" w:cs="Times New Roman"/>
                <w:color w:val="auto"/>
                <w:kern w:val="2"/>
                <w:sz w:val="18"/>
                <w:szCs w:val="18"/>
                <w:vertAlign w:val="baseline"/>
                <w:lang w:val="en-US" w:eastAsia="zh-CN" w:bidi="ar-SA"/>
              </w:rPr>
              <w:t>超过规定值</w:t>
            </w:r>
            <w:r>
              <w:rPr>
                <w:rFonts w:hint="default" w:ascii="Times New Roman" w:hAnsi="Times New Roman" w:eastAsia="仿宋_GB2312" w:cs="Times New Roman"/>
                <w:color w:val="auto"/>
                <w:kern w:val="2"/>
                <w:sz w:val="18"/>
                <w:szCs w:val="18"/>
                <w:vertAlign w:val="baseli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54" w:hRule="atLeast"/>
        </w:trPr>
        <w:tc>
          <w:tcPr>
            <w:tcW w:w="1003" w:type="dxa"/>
            <w:tcBorders>
              <w:tl2br w:val="nil"/>
              <w:tr2bl w:val="nil"/>
            </w:tcBorders>
            <w:vAlign w:val="center"/>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21"/>
                <w:szCs w:val="21"/>
                <w:vertAlign w:val="baseline"/>
                <w:lang w:val="en-US" w:eastAsia="zh-CN" w:bidi="ar-SA"/>
              </w:rPr>
              <w:t>2</w:t>
            </w:r>
          </w:p>
        </w:tc>
        <w:tc>
          <w:tcPr>
            <w:tcW w:w="4551" w:type="dxa"/>
            <w:tcBorders>
              <w:tl2br w:val="nil"/>
              <w:tr2bl w:val="nil"/>
            </w:tcBorders>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21"/>
                <w:szCs w:val="21"/>
                <w:vertAlign w:val="baseline"/>
                <w:lang w:val="en-US" w:eastAsia="zh-CN" w:bidi="ar-SA"/>
              </w:rPr>
              <w:drawing>
                <wp:inline distT="0" distB="0" distL="114300" distR="114300">
                  <wp:extent cx="2712720" cy="1510030"/>
                  <wp:effectExtent l="0" t="0" r="11430" b="13970"/>
                  <wp:docPr id="12" name="图片 12" descr="ScreenShot_2026-05-25_152733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creenShot_2026-05-25_152733_081"/>
                          <pic:cNvPicPr>
                            <a:picLocks noChangeAspect="1"/>
                          </pic:cNvPicPr>
                        </pic:nvPicPr>
                        <pic:blipFill>
                          <a:blip r:embed="rId21"/>
                          <a:stretch>
                            <a:fillRect/>
                          </a:stretch>
                        </pic:blipFill>
                        <pic:spPr>
                          <a:xfrm>
                            <a:off x="0" y="0"/>
                            <a:ext cx="2712720" cy="1510030"/>
                          </a:xfrm>
                          <a:prstGeom prst="rect">
                            <a:avLst/>
                          </a:prstGeom>
                        </pic:spPr>
                      </pic:pic>
                    </a:graphicData>
                  </a:graphic>
                </wp:inline>
              </w:drawing>
            </w:r>
          </w:p>
        </w:tc>
        <w:tc>
          <w:tcPr>
            <w:tcW w:w="3924" w:type="dxa"/>
            <w:tcBorders>
              <w:tl2br w:val="nil"/>
              <w:tr2bl w:val="nil"/>
            </w:tcBorders>
          </w:tcPr>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1.接闪带有通信电缆缠绕。</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18"/>
                <w:szCs w:val="18"/>
                <w:vertAlign w:val="baseline"/>
                <w:lang w:val="en-US" w:eastAsia="zh-CN" w:bidi="ar-SA"/>
              </w:rPr>
              <w:t>2.接闪带不平直。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574" w:hRule="atLeast"/>
        </w:trPr>
        <w:tc>
          <w:tcPr>
            <w:tcW w:w="1003" w:type="dxa"/>
            <w:tcBorders>
              <w:tl2br w:val="nil"/>
              <w:tr2bl w:val="nil"/>
            </w:tcBorders>
            <w:vAlign w:val="center"/>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p>
        </w:tc>
        <w:tc>
          <w:tcPr>
            <w:tcW w:w="4551" w:type="dxa"/>
            <w:tcBorders>
              <w:tl2br w:val="nil"/>
              <w:tr2bl w:val="nil"/>
            </w:tcBorders>
          </w:tcPr>
          <w:p>
            <w:pPr>
              <w:pStyle w:val="5"/>
              <w:numPr>
                <w:ilvl w:val="0"/>
                <w:numId w:val="0"/>
              </w:numPr>
              <w:spacing w:line="360" w:lineRule="auto"/>
              <w:ind w:firstLine="3520" w:firstLineChars="1100"/>
              <w:jc w:val="both"/>
              <w:rPr>
                <w:rFonts w:hint="default" w:ascii="Times New Roman" w:hAnsi="Times New Roman" w:eastAsia="仿宋_GB2312" w:cs="Times New Roman"/>
                <w:color w:val="auto"/>
                <w:kern w:val="2"/>
                <w:sz w:val="21"/>
                <w:szCs w:val="21"/>
                <w:vertAlign w:val="baseline"/>
                <w:lang w:val="en-US" w:eastAsia="zh-CN" w:bidi="ar-SA"/>
              </w:rPr>
            </w:pPr>
            <w:r>
              <w:rPr>
                <w:rFonts w:hint="default" w:ascii="Times New Roman" w:hAnsi="Times New Roman" w:eastAsia="仿宋_GB2312" w:cs="Times New Roman"/>
                <w:color w:val="auto"/>
                <w:kern w:val="2"/>
                <w:sz w:val="32"/>
                <w:szCs w:val="32"/>
                <w:vertAlign w:val="baseline"/>
                <w:lang w:val="en-US" w:eastAsia="zh-CN" w:bidi="ar-SA"/>
              </w:rPr>
              <w:t>以下</w:t>
            </w:r>
          </w:p>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p>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p>
        </w:tc>
        <w:tc>
          <w:tcPr>
            <w:tcW w:w="3924" w:type="dxa"/>
            <w:tcBorders>
              <w:tl2br w:val="nil"/>
              <w:tr2bl w:val="nil"/>
            </w:tcBorders>
          </w:tcPr>
          <w:p>
            <w:pPr>
              <w:pStyle w:val="5"/>
              <w:numPr>
                <w:ilvl w:val="0"/>
                <w:numId w:val="0"/>
              </w:numPr>
              <w:spacing w:line="360" w:lineRule="auto"/>
              <w:jc w:val="both"/>
              <w:rPr>
                <w:rFonts w:hint="default" w:ascii="Times New Roman" w:hAnsi="Times New Roman" w:eastAsia="仿宋_GB2312" w:cs="Times New Roman"/>
                <w:color w:val="auto"/>
                <w:kern w:val="2"/>
                <w:sz w:val="18"/>
                <w:szCs w:val="18"/>
                <w:vertAlign w:val="baseline"/>
                <w:lang w:val="en-US" w:eastAsia="zh-CN" w:bidi="ar-SA"/>
              </w:rPr>
            </w:pPr>
            <w:r>
              <w:rPr>
                <w:rFonts w:hint="default" w:ascii="Times New Roman" w:hAnsi="Times New Roman" w:eastAsia="仿宋_GB2312" w:cs="Times New Roman"/>
                <w:color w:val="auto"/>
                <w:kern w:val="2"/>
                <w:sz w:val="32"/>
                <w:szCs w:val="32"/>
                <w:vertAlign w:val="baseline"/>
                <w:lang w:val="en-US" w:eastAsia="zh-CN" w:bidi="ar-SA"/>
              </w:rPr>
              <w:t>空白</w:t>
            </w: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635" w:hRule="atLeast"/>
        </w:trPr>
        <w:tc>
          <w:tcPr>
            <w:tcW w:w="1003" w:type="dxa"/>
            <w:tcBorders>
              <w:tl2br w:val="nil"/>
              <w:tr2bl w:val="nil"/>
            </w:tcBorders>
            <w:vAlign w:val="center"/>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p>
        </w:tc>
        <w:tc>
          <w:tcPr>
            <w:tcW w:w="4551" w:type="dxa"/>
            <w:tcBorders>
              <w:tl2br w:val="nil"/>
              <w:tr2bl w:val="nil"/>
            </w:tcBorders>
          </w:tcPr>
          <w:p>
            <w:pPr>
              <w:pStyle w:val="5"/>
              <w:numPr>
                <w:ilvl w:val="0"/>
                <w:numId w:val="0"/>
              </w:numPr>
              <w:spacing w:line="360" w:lineRule="auto"/>
              <w:jc w:val="center"/>
              <w:rPr>
                <w:rFonts w:hint="default" w:ascii="Times New Roman" w:hAnsi="Times New Roman" w:eastAsia="仿宋_GB2312" w:cs="Times New Roman"/>
                <w:color w:val="auto"/>
                <w:kern w:val="2"/>
                <w:sz w:val="21"/>
                <w:szCs w:val="21"/>
                <w:vertAlign w:val="baseline"/>
                <w:lang w:val="en-US" w:eastAsia="zh-CN" w:bidi="ar-SA"/>
              </w:rPr>
            </w:pPr>
          </w:p>
        </w:tc>
        <w:tc>
          <w:tcPr>
            <w:tcW w:w="3924" w:type="dxa"/>
            <w:tcBorders>
              <w:tl2br w:val="nil"/>
              <w:tr2bl w:val="nil"/>
            </w:tcBorders>
          </w:tcPr>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p>
          <w:p>
            <w:pPr>
              <w:pStyle w:val="5"/>
              <w:numPr>
                <w:ilvl w:val="0"/>
                <w:numId w:val="0"/>
              </w:numPr>
              <w:spacing w:line="360" w:lineRule="auto"/>
              <w:jc w:val="left"/>
              <w:rPr>
                <w:rFonts w:hint="default" w:ascii="Times New Roman" w:hAnsi="Times New Roman" w:eastAsia="仿宋_GB2312" w:cs="Times New Roman"/>
                <w:color w:val="auto"/>
                <w:kern w:val="2"/>
                <w:sz w:val="18"/>
                <w:szCs w:val="18"/>
                <w:vertAlign w:val="baseline"/>
                <w:lang w:val="en-US" w:eastAsia="zh-CN" w:bidi="ar-SA"/>
              </w:rPr>
            </w:pP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148" w:name="_Toc5201"/>
      <w:bookmarkStart w:id="149" w:name="_Toc17242"/>
      <w:bookmarkStart w:id="150" w:name="_Toc24390"/>
      <w:r>
        <w:rPr>
          <w:rFonts w:hint="default" w:ascii="Times New Roman" w:hAnsi="Times New Roman" w:eastAsia="黑体" w:cs="Times New Roman"/>
          <w:color w:val="auto"/>
          <w:sz w:val="32"/>
          <w:szCs w:val="32"/>
          <w:lang w:val="en-US" w:eastAsia="zh-CN"/>
        </w:rPr>
        <w:t>13 参与本项目雷电防护装置检测人员相关证件</w:t>
      </w:r>
      <w:bookmarkEnd w:id="148"/>
      <w:bookmarkEnd w:id="149"/>
      <w:bookmarkEnd w:id="15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此页插入个人能力评价证明或相关培训证书，清晰可见人员的姓名和证件编号。</w:t>
      </w:r>
    </w:p>
    <w:p>
      <w:pPr>
        <w:pStyle w:val="5"/>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楷体" w:cs="Times New Roman"/>
          <w:b w:val="0"/>
          <w:bCs w:val="0"/>
          <w:color w:val="auto"/>
          <w:kern w:val="2"/>
          <w:sz w:val="32"/>
          <w:szCs w:val="32"/>
          <w:lang w:val="en-US" w:eastAsia="zh-CN" w:bidi="ar-SA"/>
        </w:rPr>
        <w:t>示例：</w:t>
      </w:r>
    </w:p>
    <w:p>
      <w:pPr>
        <w:pStyle w:val="5"/>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参与本项目雷电防护装置检测人员相关证件</w:t>
      </w:r>
    </w:p>
    <w:tbl>
      <w:tblPr>
        <w:tblStyle w:val="18"/>
        <w:tblW w:w="906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064" w:type="dxa"/>
            <w:tcBorders>
              <w:tl2br w:val="nil"/>
              <w:tr2bl w:val="nil"/>
            </w:tcBorders>
            <w:vAlign w:val="top"/>
          </w:tcPr>
          <w:p>
            <w:pPr>
              <w:pStyle w:val="5"/>
              <w:numPr>
                <w:ilvl w:val="0"/>
                <w:numId w:val="0"/>
              </w:numPr>
              <w:spacing w:line="360" w:lineRule="auto"/>
              <w:jc w:val="center"/>
              <w:rPr>
                <w:rFonts w:hint="default" w:ascii="Times New Roman" w:hAnsi="Times New Roman" w:eastAsia="仿宋_GB2312" w:cs="Times New Roman"/>
                <w:color w:val="auto"/>
                <w:kern w:val="2"/>
                <w:sz w:val="32"/>
                <w:szCs w:val="32"/>
                <w:vertAlign w:val="baseline"/>
                <w:lang w:val="en-US" w:eastAsia="zh-CN" w:bidi="ar-SA"/>
              </w:rPr>
            </w:pPr>
            <w:r>
              <w:rPr>
                <w:rFonts w:hint="default" w:ascii="Times New Roman" w:hAnsi="Times New Roman" w:eastAsia="仿宋_GB2312" w:cs="Times New Roman"/>
                <w:color w:val="auto"/>
                <w:kern w:val="2"/>
                <w:sz w:val="32"/>
                <w:szCs w:val="32"/>
                <w:vertAlign w:val="baseline"/>
                <w:lang w:val="en-US" w:eastAsia="zh-CN" w:bidi="ar-SA"/>
              </w:rPr>
              <w:drawing>
                <wp:inline distT="0" distB="0" distL="114300" distR="114300">
                  <wp:extent cx="4697730" cy="3231515"/>
                  <wp:effectExtent l="0" t="0" r="11430" b="14605"/>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22"/>
                          <a:stretch>
                            <a:fillRect/>
                          </a:stretch>
                        </pic:blipFill>
                        <pic:spPr>
                          <a:xfrm>
                            <a:off x="0" y="0"/>
                            <a:ext cx="4697730" cy="3231515"/>
                          </a:xfrm>
                          <a:prstGeom prst="rect">
                            <a:avLst/>
                          </a:prstGeom>
                          <a:noFill/>
                          <a:ln w="9525">
                            <a:noFill/>
                          </a:ln>
                        </pic:spPr>
                      </pic:pic>
                    </a:graphicData>
                  </a:graphic>
                </wp:inline>
              </w:drawing>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93" w:hRule="atLeast"/>
        </w:trPr>
        <w:tc>
          <w:tcPr>
            <w:tcW w:w="9064" w:type="dxa"/>
            <w:tcBorders>
              <w:tl2br w:val="nil"/>
              <w:tr2bl w:val="nil"/>
            </w:tcBorders>
            <w:vAlign w:val="top"/>
          </w:tcPr>
          <w:p>
            <w:pPr>
              <w:pStyle w:val="5"/>
              <w:numPr>
                <w:ilvl w:val="0"/>
                <w:numId w:val="0"/>
              </w:numPr>
              <w:spacing w:line="360" w:lineRule="auto"/>
              <w:jc w:val="center"/>
              <w:rPr>
                <w:rFonts w:hint="default" w:ascii="Times New Roman" w:hAnsi="Times New Roman" w:eastAsia="仿宋_GB2312" w:cs="Times New Roman"/>
                <w:color w:val="auto"/>
                <w:kern w:val="2"/>
                <w:sz w:val="32"/>
                <w:szCs w:val="32"/>
                <w:vertAlign w:val="baseline"/>
                <w:lang w:val="en-US" w:eastAsia="zh-CN" w:bidi="ar-SA"/>
              </w:rPr>
            </w:pPr>
            <w:r>
              <w:rPr>
                <w:rFonts w:hint="default" w:ascii="Times New Roman" w:hAnsi="Times New Roman" w:eastAsia="仿宋_GB2312" w:cs="Times New Roman"/>
                <w:color w:val="auto"/>
                <w:kern w:val="2"/>
                <w:sz w:val="32"/>
                <w:szCs w:val="32"/>
                <w:vertAlign w:val="baseline"/>
                <w:lang w:val="en-US" w:eastAsia="zh-CN" w:bidi="ar-SA"/>
              </w:rPr>
              <w:drawing>
                <wp:inline distT="0" distB="0" distL="114300" distR="114300">
                  <wp:extent cx="4716780" cy="3245485"/>
                  <wp:effectExtent l="0" t="0" r="7620" b="635"/>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22"/>
                          <a:stretch>
                            <a:fillRect/>
                          </a:stretch>
                        </pic:blipFill>
                        <pic:spPr>
                          <a:xfrm>
                            <a:off x="0" y="0"/>
                            <a:ext cx="4716780" cy="3245485"/>
                          </a:xfrm>
                          <a:prstGeom prst="rect">
                            <a:avLst/>
                          </a:prstGeom>
                          <a:noFill/>
                          <a:ln w="9525">
                            <a:noFill/>
                          </a:ln>
                        </pic:spPr>
                      </pic:pic>
                    </a:graphicData>
                  </a:graphic>
                </wp:inline>
              </w:drawing>
            </w: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151" w:name="_Toc21472"/>
      <w:bookmarkStart w:id="152" w:name="_Toc24131"/>
      <w:bookmarkStart w:id="153" w:name="_Toc17374"/>
      <w:r>
        <w:rPr>
          <w:rFonts w:hint="eastAsia" w:ascii="Times New Roman" w:hAnsi="Times New Roman" w:eastAsia="黑体" w:cs="Times New Roman"/>
          <w:color w:val="auto"/>
          <w:sz w:val="32"/>
          <w:szCs w:val="32"/>
          <w:lang w:val="en-US" w:eastAsia="zh-CN"/>
        </w:rPr>
        <w:t>14 附页</w:t>
      </w:r>
      <w:bookmarkEnd w:id="15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color w:val="auto"/>
          <w:lang w:val="en-US" w:eastAsia="zh-CN"/>
        </w:rPr>
      </w:pPr>
      <w:r>
        <w:rPr>
          <w:rFonts w:hint="eastAsia" w:ascii="Times New Roman" w:hAnsi="Times New Roman" w:eastAsia="仿宋_GB2312" w:cs="Times New Roman"/>
          <w:color w:val="auto"/>
          <w:kern w:val="2"/>
          <w:sz w:val="32"/>
          <w:szCs w:val="32"/>
          <w:lang w:val="en-US" w:eastAsia="zh-CN" w:bidi="ar-SA"/>
        </w:rPr>
        <w:t>附检测现场照片1</w:t>
      </w:r>
      <w:r>
        <w:rPr>
          <w:rFonts w:hint="eastAsia"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2张，显示拍照当天的时间和经纬度。其中，检测人员在被检测单位门前或单位名称标牌前1张，现场检测人员全部</w:t>
      </w:r>
      <w:r>
        <w:rPr>
          <w:rFonts w:hint="eastAsia" w:eastAsia="仿宋_GB2312" w:cs="Times New Roman"/>
          <w:color w:val="auto"/>
          <w:kern w:val="2"/>
          <w:sz w:val="32"/>
          <w:szCs w:val="32"/>
          <w:lang w:val="en-US" w:eastAsia="zh-CN" w:bidi="ar-SA"/>
        </w:rPr>
        <w:t>入镜</w:t>
      </w:r>
      <w:r>
        <w:rPr>
          <w:rFonts w:hint="eastAsia" w:ascii="Times New Roman" w:hAnsi="Times New Roman" w:eastAsia="仿宋_GB2312" w:cs="Times New Roman"/>
          <w:color w:val="auto"/>
          <w:kern w:val="2"/>
          <w:sz w:val="32"/>
          <w:szCs w:val="32"/>
          <w:lang w:val="en-US" w:eastAsia="zh-CN" w:bidi="ar-SA"/>
        </w:rPr>
        <w:t>，且面部清晰可辨；现场检测作业照片1张，清晰可见检测状态和检测项目（如不允许使用照相电子设备的，可以不附现场作业照片）。</w:t>
      </w: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color w:val="auto"/>
          <w:sz w:val="32"/>
          <w:szCs w:val="32"/>
          <w:lang w:val="en-US" w:eastAsia="zh-CN"/>
        </w:rPr>
      </w:pPr>
      <w:bookmarkStart w:id="154" w:name="_Toc27186"/>
      <w:r>
        <w:rPr>
          <w:rFonts w:hint="default" w:ascii="Times New Roman" w:hAnsi="Times New Roman" w:eastAsia="黑体" w:cs="Times New Roman"/>
          <w:color w:val="auto"/>
          <w:sz w:val="32"/>
          <w:szCs w:val="32"/>
          <w:lang w:val="en-US" w:eastAsia="zh-CN"/>
        </w:rPr>
        <w:t>1</w:t>
      </w:r>
      <w:r>
        <w:rPr>
          <w:rFonts w:hint="eastAsia" w:eastAsia="黑体" w:cs="Times New Roman"/>
          <w:color w:val="auto"/>
          <w:sz w:val="32"/>
          <w:szCs w:val="32"/>
          <w:lang w:val="en-US" w:eastAsia="zh-CN"/>
        </w:rPr>
        <w:t>5</w:t>
      </w:r>
      <w:r>
        <w:rPr>
          <w:rFonts w:hint="default" w:ascii="Times New Roman" w:hAnsi="Times New Roman" w:eastAsia="黑体" w:cs="Times New Roman"/>
          <w:color w:val="auto"/>
          <w:sz w:val="32"/>
          <w:szCs w:val="32"/>
          <w:lang w:val="en-US" w:eastAsia="zh-CN"/>
        </w:rPr>
        <w:t xml:space="preserve"> 专业模板</w:t>
      </w:r>
      <w:bookmarkEnd w:id="152"/>
      <w:bookmarkEnd w:id="153"/>
      <w:bookmarkEnd w:id="15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12个专业模板的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仅</w:t>
      </w:r>
      <w:r>
        <w:rPr>
          <w:rFonts w:hint="eastAsia" w:ascii="Times New Roman" w:hAnsi="Times New Roman" w:eastAsia="仿宋_GB2312" w:cs="Times New Roman"/>
          <w:color w:val="auto"/>
          <w:kern w:val="2"/>
          <w:sz w:val="32"/>
          <w:szCs w:val="32"/>
          <w:lang w:val="en-US" w:eastAsia="zh-CN" w:bidi="ar-SA"/>
        </w:rPr>
        <w:t>针对</w:t>
      </w:r>
      <w:r>
        <w:rPr>
          <w:rFonts w:hint="default" w:ascii="Times New Roman" w:hAnsi="Times New Roman" w:eastAsia="仿宋_GB2312" w:cs="Times New Roman"/>
          <w:color w:val="auto"/>
          <w:kern w:val="2"/>
          <w:sz w:val="32"/>
          <w:szCs w:val="32"/>
          <w:lang w:val="en-US" w:eastAsia="zh-CN" w:bidi="ar-SA"/>
        </w:rPr>
        <w:t>建筑物雷电防护装置检测报告</w:t>
      </w:r>
      <w:r>
        <w:rPr>
          <w:rFonts w:hint="eastAsia" w:ascii="Times New Roman" w:hAnsi="Times New Roman" w:eastAsia="仿宋_GB2312" w:cs="Times New Roman"/>
          <w:color w:val="auto"/>
          <w:kern w:val="2"/>
          <w:sz w:val="32"/>
          <w:szCs w:val="32"/>
          <w:lang w:val="en-US" w:eastAsia="zh-CN" w:bidi="ar-SA"/>
        </w:rPr>
        <w:t>模板</w:t>
      </w:r>
      <w:r>
        <w:rPr>
          <w:rFonts w:hint="default" w:ascii="Times New Roman" w:hAnsi="Times New Roman" w:eastAsia="仿宋_GB2312" w:cs="Times New Roman"/>
          <w:color w:val="auto"/>
          <w:kern w:val="2"/>
          <w:sz w:val="32"/>
          <w:szCs w:val="32"/>
          <w:lang w:val="en-US" w:eastAsia="zh-CN" w:bidi="ar-SA"/>
        </w:rPr>
        <w:t>未涉及部分。</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55" w:name="_Toc11630"/>
      <w:bookmarkStart w:id="156" w:name="_Toc2077"/>
      <w:r>
        <w:rPr>
          <w:rFonts w:hint="eastAsia" w:ascii="黑体" w:hAnsi="黑体" w:eastAsia="黑体" w:cs="黑体"/>
          <w:b w:val="0"/>
          <w:bCs w:val="0"/>
          <w:color w:val="auto"/>
          <w:lang w:val="en-US" w:eastAsia="zh-CN"/>
        </w:rPr>
        <w:t>15.1 数据中心雷电防护装置检测报告表</w:t>
      </w:r>
      <w:bookmarkEnd w:id="155"/>
      <w:bookmarkEnd w:id="156"/>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（1）防护等级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数据中心机房雷电防护等级应按照GB50343</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2012第4章规定进行计算，确定机房雷电防护等级。</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“A级</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B级</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C级</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D级”。</w:t>
      </w:r>
    </w:p>
    <w:p>
      <w:pPr>
        <w:pStyle w:val="5"/>
        <w:pageBreakBefore w:val="0"/>
        <w:widowControl w:val="0"/>
        <w:numPr>
          <w:ilvl w:val="0"/>
          <w:numId w:val="0"/>
        </w:numPr>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（2）外部防雷装置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温度、湿度：现场测量值</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室外天线防直击雷保护性能：</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“完全覆盖”或“未完全覆盖”</w:t>
      </w:r>
      <w:r>
        <w:rPr>
          <w:rFonts w:hint="eastAsia" w:ascii="Times New Roman" w:hAnsi="Times New Roman" w:eastAsia="仿宋_GB2312" w:cs="Times New Roman"/>
          <w:color w:val="auto"/>
          <w:spacing w:val="-11"/>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室外天线基座等连接情况及规格：</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材料规格和过渡电阻。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引下线的数量和间距：指建筑物本身的引下线数量和间距，</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数量、平均间距。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机房金属幕墙、外窗接地性能：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≤0.2Ω的过渡电阻值，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至附表b中。</w:t>
      </w:r>
    </w:p>
    <w:p>
      <w:pPr>
        <w:pStyle w:val="5"/>
        <w:pageBreakBefore w:val="0"/>
        <w:widowControl w:val="0"/>
        <w:numPr>
          <w:ilvl w:val="0"/>
          <w:numId w:val="0"/>
        </w:numPr>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楷体" w:cs="Times New Roman"/>
          <w:b/>
          <w:bCs/>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（3）等电位连接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环形导体、支架格栅等接地：</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最小值（Ω）</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金属管道、线槽、桥架等接地：</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是或否，</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是时，将金属管道、线槽、桥架的接地电阻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静电地板网格支架接地电阻、光缆金属构件接地：接地电阻检测数值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等电位和电气连接性能：对金属管道、线槽、桥架、静电地板支架、光缆金属构件、配电箱、柜、盘等通过接地基准点（ERP）测得的实测过渡电阻值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w:t>
      </w:r>
      <w:r>
        <w:rPr>
          <w:rFonts w:hint="eastAsia" w:ascii="Times New Roman" w:hAnsi="Times New Roman" w:eastAsia="仿宋_GB2312" w:cs="Times New Roman"/>
          <w:color w:val="auto"/>
          <w:kern w:val="2"/>
          <w:sz w:val="32"/>
          <w:szCs w:val="32"/>
          <w:lang w:val="en-US" w:eastAsia="zh-CN" w:bidi="ar-SA"/>
        </w:rPr>
        <w:t>。</w:t>
      </w:r>
    </w:p>
    <w:p>
      <w:pPr>
        <w:pStyle w:val="5"/>
        <w:pageBreakBefore w:val="0"/>
        <w:widowControl w:val="0"/>
        <w:numPr>
          <w:ilvl w:val="0"/>
          <w:numId w:val="0"/>
        </w:numPr>
        <w:kinsoku/>
        <w:wordWrap/>
        <w:overflowPunct/>
        <w:topLinePunct w:val="0"/>
        <w:autoSpaceDE/>
        <w:autoSpaceDN/>
        <w:bidi w:val="0"/>
        <w:adjustRightInd/>
        <w:spacing w:line="560" w:lineRule="exact"/>
        <w:ind w:firstLine="643"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kern w:val="2"/>
          <w:sz w:val="32"/>
          <w:szCs w:val="32"/>
          <w:lang w:val="en-US" w:eastAsia="zh-CN" w:bidi="ar-SA"/>
        </w:rPr>
        <w:t>（4）磁屏蔽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位置：</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同建筑物检测表。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等电位和电气连接性能：位置中涉及的屏蔽体、线缆的屏蔽层接地点，修约值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电气贯通性能：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GB/T 21431</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2023符合表7中序号5规定的金属管、金属格栅或钢筋成格栅形的混凝土管道，两端的过渡电阻值</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要求不应大于1Ω，</w:t>
      </w:r>
      <w:r>
        <w:rPr>
          <w:rFonts w:hint="eastAsia" w:ascii="Times New Roman" w:hAnsi="Times New Roman" w:eastAsia="仿宋_GB2312" w:cs="Times New Roman"/>
          <w:color w:val="auto"/>
          <w:kern w:val="2"/>
          <w:sz w:val="32"/>
          <w:szCs w:val="32"/>
          <w:lang w:val="en-US" w:eastAsia="zh-CN" w:bidi="ar-SA"/>
        </w:rPr>
        <w:t>修约值填写入附表b。</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屏蔽材质：</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材料名称，截面积。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非金属外壳设备屏蔽情况：</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“金属屏蔽网”或“</w:t>
      </w:r>
      <w:r>
        <w:rPr>
          <w:rFonts w:hint="eastAsia" w:ascii="Times New Roman" w:hAnsi="Times New Roman" w:eastAsia="仿宋_GB2312" w:cs="Times New Roman"/>
          <w:color w:val="auto"/>
          <w:kern w:val="2"/>
          <w:sz w:val="32"/>
          <w:szCs w:val="32"/>
          <w:lang w:val="en-US" w:eastAsia="zh-CN" w:bidi="ar-SA"/>
        </w:rPr>
        <w:t>室内</w:t>
      </w:r>
      <w:r>
        <w:rPr>
          <w:rFonts w:hint="default" w:ascii="Times New Roman" w:hAnsi="Times New Roman" w:eastAsia="仿宋_GB2312" w:cs="Times New Roman"/>
          <w:color w:val="auto"/>
          <w:kern w:val="2"/>
          <w:sz w:val="32"/>
          <w:szCs w:val="32"/>
          <w:lang w:val="en-US" w:eastAsia="zh-CN" w:bidi="ar-SA"/>
        </w:rPr>
        <w:t>”，“等电位连接并接地”。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线缆敷设形式：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“架空”或“埋地”。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埋地长度：实测数据的修约值（m）。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线缆屏蔽方式：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“穿金属管”或“槽”或“屏蔽电缆”。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bCs/>
          <w:color w:val="auto"/>
          <w:spacing w:val="-11"/>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信息线缆与电力、管线间距：指信息系统线缆与其他管线的</w:t>
      </w:r>
      <w:r>
        <w:rPr>
          <w:rFonts w:hint="default" w:ascii="Times New Roman" w:hAnsi="Times New Roman" w:eastAsia="仿宋_GB2312" w:cs="Times New Roman"/>
          <w:color w:val="auto"/>
          <w:spacing w:val="-11"/>
          <w:kern w:val="2"/>
          <w:sz w:val="32"/>
          <w:szCs w:val="32"/>
          <w:lang w:val="en-US" w:eastAsia="zh-CN" w:bidi="ar-SA"/>
        </w:rPr>
        <w:t>间距、电子信息系统与电力电缆的间距。</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实测修约值（m）。</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57" w:name="_Toc406"/>
      <w:bookmarkStart w:id="158" w:name="_Toc26746"/>
      <w:r>
        <w:rPr>
          <w:rFonts w:hint="eastAsia" w:ascii="黑体" w:hAnsi="黑体" w:eastAsia="黑体" w:cs="黑体"/>
          <w:b w:val="0"/>
          <w:bCs w:val="0"/>
          <w:color w:val="auto"/>
          <w:lang w:val="en-US" w:eastAsia="zh-CN"/>
        </w:rPr>
        <w:t>15.2 加油（气）站雷电防护装置检测报告表</w:t>
      </w:r>
      <w:bookmarkEnd w:id="157"/>
      <w:bookmarkEnd w:id="15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加油（气）站雷电防护装置检测报告表中不涉及其他附属生活用房（如站房），其他附属生活用房按照建筑物雷电防护装置</w:t>
      </w:r>
      <w:r>
        <w:rPr>
          <w:rFonts w:hint="eastAsia" w:ascii="Times New Roman" w:hAnsi="Times New Roman" w:eastAsia="仿宋_GB2312" w:cs="Times New Roman"/>
          <w:color w:val="auto"/>
          <w:kern w:val="2"/>
          <w:sz w:val="32"/>
          <w:szCs w:val="32"/>
          <w:lang w:val="en-US" w:eastAsia="zh-CN" w:bidi="ar-SA"/>
        </w:rPr>
        <w:t>报告模板进行填写报</w:t>
      </w:r>
      <w:r>
        <w:rPr>
          <w:rFonts w:hint="default"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接闪装置、引下装置、接地装置：</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方法同建筑物。</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（1）罐区接地及等电位连接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接地点数量：指罐区总接地点数，</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实测数量。</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消除人体静电装置（处）：</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数量，接地电阻</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入附表a。</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法兰、胶管、呼吸阀电气连接性能：法兰、胶管、呼吸阀如数检测，修约值分别</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接地基准点（ERP）接地性能：从已测接地电阻值中选取最小值。</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（2）作业区设施接地及等电位连接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汽/柴油通气管/CNG/LNG放散管：</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卸油（气、液）管口：</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过渡电阻，修约值</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入附表b。</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平行敷设管道跨接、油品管道/LFG管道/LNG管道：</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过渡电阻，数量大于2处的跨接，</w:t>
      </w:r>
      <w:r>
        <w:rPr>
          <w:rFonts w:hint="eastAsia" w:ascii="Times New Roman" w:hAnsi="Times New Roman" w:eastAsia="仿宋_GB2312" w:cs="Times New Roman"/>
          <w:color w:val="auto"/>
          <w:kern w:val="2"/>
          <w:sz w:val="32"/>
          <w:szCs w:val="32"/>
          <w:lang w:val="en-US" w:eastAsia="zh-CN" w:bidi="ar-SA"/>
        </w:rPr>
        <w:t>填写“见附表b”</w:t>
      </w:r>
      <w:r>
        <w:rPr>
          <w:rFonts w:hint="default" w:ascii="Times New Roman" w:hAnsi="Times New Roman" w:eastAsia="仿宋_GB2312" w:cs="Times New Roman"/>
          <w:color w:val="auto"/>
          <w:kern w:val="2"/>
          <w:sz w:val="32"/>
          <w:szCs w:val="32"/>
          <w:lang w:val="en-US" w:eastAsia="zh-CN" w:bidi="ar-SA"/>
        </w:rPr>
        <w:t>，修约值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脱硫脱水装置/泵和压缩机/气化器：</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过渡电阻，数量大于2处的跨接，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加油机/枪数量：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实际数量。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金属法兰/加油（气、液）机/枪：</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过渡电阻，数量大于2处的跨接，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（3）供电制式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59" w:name="_Toc30340"/>
      <w:bookmarkStart w:id="160" w:name="_Toc23098"/>
      <w:r>
        <w:rPr>
          <w:rFonts w:hint="eastAsia" w:ascii="黑体" w:hAnsi="黑体" w:eastAsia="黑体" w:cs="黑体"/>
          <w:b w:val="0"/>
          <w:bCs w:val="0"/>
          <w:color w:val="auto"/>
          <w:lang w:val="en-US" w:eastAsia="zh-CN"/>
        </w:rPr>
        <w:t>15.3 石油库雷电防护装置检测报告表</w:t>
      </w:r>
      <w:bookmarkEnd w:id="159"/>
      <w:bookmarkEnd w:id="16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石油库雷电防护装置检测报告表中不涉及行政办公及附属生活建筑，行政办公及附属生活建筑按照建筑物雷电防护装置报告模板出具报告。</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罐体及洞库均按单体出具，不应将多个单体或洞库合并出具。</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（1）罐区、罐体直击雷防护装置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类型：独立接闪杆时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“专设/接闪杆”或“专设/接闪带”；利用罐体做接闪器时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“自然/罐本体”。</w:t>
      </w:r>
    </w:p>
    <w:p>
      <w:pPr>
        <w:keepNext w:val="0"/>
        <w:keepLines w:val="0"/>
        <w:pageBreakBefore w:val="0"/>
        <w:widowControl w:val="0"/>
        <w:kinsoku/>
        <w:wordWrap/>
        <w:overflowPunct/>
        <w:topLinePunct w:val="0"/>
        <w:autoSpaceDE/>
        <w:autoSpaceDN/>
        <w:bidi w:val="0"/>
        <w:adjustRightInd/>
        <w:snapToGrid/>
        <w:spacing w:line="56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抗风强度（风压）</w:t>
      </w:r>
      <w:r>
        <w:rPr>
          <w:rFonts w:hint="eastAsia" w:ascii="Times New Roman" w:hAnsi="Times New Roman" w:eastAsia="仿宋_GB2312" w:cs="Times New Roman"/>
          <w:color w:val="auto"/>
          <w:spacing w:val="-11"/>
          <w:kern w:val="2"/>
          <w:sz w:val="32"/>
          <w:szCs w:val="32"/>
          <w:lang w:val="en-US" w:eastAsia="zh-CN" w:bidi="ar-SA"/>
        </w:rPr>
        <w:t>：</w:t>
      </w:r>
      <w:r>
        <w:rPr>
          <w:rFonts w:hint="default" w:ascii="Times New Roman" w:hAnsi="Times New Roman" w:eastAsia="仿宋_GB2312" w:cs="Times New Roman"/>
          <w:color w:val="auto"/>
          <w:spacing w:val="-11"/>
          <w:kern w:val="2"/>
          <w:sz w:val="32"/>
          <w:szCs w:val="32"/>
          <w:lang w:val="en-US" w:eastAsia="zh-CN" w:bidi="ar-SA"/>
        </w:rPr>
        <w:t>从全国风荷载表中查得，并与设计值比对。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引下线类型：利用接闪杆支撑杆、罐体做引下线时，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“自然”；设置接闪带时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“专设”。</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（2）储罐区设施接地装置及等电位连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过渡电阻，数量大于2处的跨接，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储罐接地电阻：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测量数据，数量大于2处的跨接，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（3）装卸区槽车栈台等电位连接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管道进入点：</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是否接地；接地电阻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过渡电阻，数量大于2处的跨接，</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接地电阻：数量大于2处的，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铁路罐车的铁轨、鹤管、栈桥、管道、设备外壳、法兰盘：</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接地电阻或过渡电阻的修约值。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连接罐车、船舶和灌桶防静电装置</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“有”或“无”，</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有时，需在附表b中</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实测接地电阻的修约值。</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（4）其他设施等电位连接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工艺管道：</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有或无；当</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有时，须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接地电阻或过渡电阻实测修约值；修约值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入附表a或附表b。</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室外监控设备、灯杆、监控杆接地电阻：按实际数量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接地电阻修约值；修约值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工艺管道接地电阻：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接地电阻值，数量大于2处的，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（5）供电制式</w:t>
      </w:r>
    </w:p>
    <w:p>
      <w:pPr>
        <w:pStyle w:val="5"/>
        <w:pageBreakBefore w:val="0"/>
        <w:widowControl w:val="0"/>
        <w:kinsoku/>
        <w:wordWrap/>
        <w:overflowPunct/>
        <w:topLinePunct w:val="0"/>
        <w:autoSpaceDE/>
        <w:autoSpaceDN/>
        <w:bidi w:val="0"/>
        <w:adjustRightInd/>
        <w:spacing w:line="56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61" w:name="_Toc1255"/>
      <w:bookmarkStart w:id="162" w:name="_Toc23480"/>
      <w:r>
        <w:rPr>
          <w:rFonts w:hint="eastAsia" w:ascii="黑体" w:hAnsi="黑体" w:eastAsia="黑体" w:cs="黑体"/>
          <w:b w:val="0"/>
          <w:bCs w:val="0"/>
          <w:color w:val="auto"/>
          <w:lang w:val="en-US" w:eastAsia="zh-CN"/>
        </w:rPr>
        <w:t>15.4 通信局站（基站）雷电防护装置检测报告表</w:t>
      </w:r>
      <w:bookmarkEnd w:id="161"/>
      <w:bookmarkEnd w:id="162"/>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通信局站（基站）雷电防护装置检测涉及数据机房、办公、辅助生活建筑时，应分别按照建筑物、数据中心、基站模板分别出具报告。</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63" w:name="_Toc2880"/>
      <w:bookmarkStart w:id="164" w:name="_Toc26646"/>
      <w:r>
        <w:rPr>
          <w:rFonts w:hint="eastAsia" w:ascii="黑体" w:hAnsi="黑体" w:eastAsia="黑体" w:cs="黑体"/>
          <w:b w:val="0"/>
          <w:bCs w:val="0"/>
          <w:color w:val="auto"/>
          <w:lang w:val="en-US" w:eastAsia="zh-CN"/>
        </w:rPr>
        <w:t>15.5 大型浮顶油罐雷电防护装置检测报告表</w:t>
      </w:r>
      <w:bookmarkEnd w:id="163"/>
      <w:bookmarkEnd w:id="164"/>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大型浮顶油罐雷电防护装置检测涉及办公、辅助生活建筑时，应按照建筑物模板出具报告。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罐体均按单体出具，不应将多个单体或洞库合并出具。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等电位连接性能、跨接性能、电气连接性能均执行GB/T 32937</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2016的相关规定。</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65" w:name="_Toc4412"/>
      <w:bookmarkStart w:id="166" w:name="_Toc14475"/>
      <w:r>
        <w:rPr>
          <w:rFonts w:hint="eastAsia" w:ascii="黑体" w:hAnsi="黑体" w:eastAsia="黑体" w:cs="黑体"/>
          <w:b w:val="0"/>
          <w:bCs w:val="0"/>
          <w:color w:val="auto"/>
          <w:lang w:val="en-US" w:eastAsia="zh-CN"/>
        </w:rPr>
        <w:t>15.6 输油（气）管道雷电防护装置检测报告表</w:t>
      </w:r>
      <w:bookmarkEnd w:id="165"/>
      <w:bookmarkEnd w:id="166"/>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输油（气）管道雷电防护装置检测报告表中不涉及办公、附属生活建筑。办公、附属生活建筑按照建筑物雷电防护装置检测报告模板出具报告。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供电制式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67" w:name="_Toc13657"/>
      <w:bookmarkStart w:id="168" w:name="_Toc25724"/>
      <w:r>
        <w:rPr>
          <w:rFonts w:hint="eastAsia" w:ascii="黑体" w:hAnsi="黑体" w:eastAsia="黑体" w:cs="黑体"/>
          <w:b w:val="0"/>
          <w:bCs w:val="0"/>
          <w:color w:val="auto"/>
          <w:lang w:val="en-US" w:eastAsia="zh-CN"/>
        </w:rPr>
        <w:t>15.7 石油化工雷电防护装置检测报告表</w:t>
      </w:r>
      <w:bookmarkEnd w:id="167"/>
      <w:bookmarkEnd w:id="168"/>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石油化工雷电防护装置检测报告表中不涉及厂房、办公及附属生活建筑。厂房、办公及附属生活设施按照建筑物雷电防护装置检测报告模板出具报告。</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（1）炉区设施接地及等电位连接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混凝土框架与炉体、金属框架与炉体：</w:t>
      </w:r>
      <w:r>
        <w:rPr>
          <w:rFonts w:hint="eastAsia" w:ascii="Times New Roman" w:hAnsi="Times New Roman" w:eastAsia="仿宋_GB2312" w:cs="Times New Roman"/>
          <w:color w:val="auto"/>
          <w:kern w:val="2"/>
          <w:sz w:val="32"/>
          <w:szCs w:val="32"/>
          <w:lang w:val="en-US" w:eastAsia="zh-CN" w:bidi="ar-SA"/>
        </w:rPr>
        <w:t>填写过渡</w:t>
      </w:r>
      <w:r>
        <w:rPr>
          <w:rFonts w:hint="default" w:ascii="Times New Roman" w:hAnsi="Times New Roman" w:eastAsia="仿宋_GB2312" w:cs="Times New Roman"/>
          <w:color w:val="auto"/>
          <w:kern w:val="2"/>
          <w:sz w:val="32"/>
          <w:szCs w:val="32"/>
          <w:lang w:val="en-US" w:eastAsia="zh-CN" w:bidi="ar-SA"/>
        </w:rPr>
        <w:t>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引下线装置冲击接地电阻：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接地电阻，数量大于2处的，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其余需要等电位连接设备的</w:t>
      </w:r>
      <w:r>
        <w:rPr>
          <w:rFonts w:hint="eastAsia" w:ascii="Times New Roman" w:hAnsi="Times New Roman" w:eastAsia="仿宋_GB2312" w:cs="Times New Roman"/>
          <w:color w:val="auto"/>
          <w:kern w:val="2"/>
          <w:sz w:val="32"/>
          <w:szCs w:val="32"/>
          <w:lang w:val="en-US" w:eastAsia="zh-CN" w:bidi="ar-SA"/>
        </w:rPr>
        <w:t>过渡</w:t>
      </w:r>
      <w:r>
        <w:rPr>
          <w:rFonts w:hint="default" w:ascii="Times New Roman" w:hAnsi="Times New Roman" w:eastAsia="仿宋_GB2312" w:cs="Times New Roman"/>
          <w:color w:val="auto"/>
          <w:kern w:val="2"/>
          <w:sz w:val="32"/>
          <w:szCs w:val="32"/>
          <w:lang w:val="en-US" w:eastAsia="zh-CN" w:bidi="ar-SA"/>
        </w:rPr>
        <w:t>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（2）塔区设施接地及等电位连接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混凝土框架、金属框架与塔体连接、平台金属栏杆连接、塔上放空管连接：</w:t>
      </w:r>
      <w:r>
        <w:rPr>
          <w:rFonts w:hint="eastAsia" w:ascii="Times New Roman" w:hAnsi="Times New Roman" w:eastAsia="仿宋_GB2312" w:cs="Times New Roman"/>
          <w:color w:val="auto"/>
          <w:kern w:val="2"/>
          <w:sz w:val="32"/>
          <w:szCs w:val="32"/>
          <w:lang w:val="en-US" w:eastAsia="zh-CN" w:bidi="ar-SA"/>
        </w:rPr>
        <w:t>填写过渡</w:t>
      </w:r>
      <w:r>
        <w:rPr>
          <w:rFonts w:hint="default" w:ascii="Times New Roman" w:hAnsi="Times New Roman" w:eastAsia="仿宋_GB2312" w:cs="Times New Roman"/>
          <w:color w:val="auto"/>
          <w:kern w:val="2"/>
          <w:sz w:val="32"/>
          <w:szCs w:val="32"/>
          <w:lang w:val="en-US" w:eastAsia="zh-CN" w:bidi="ar-SA"/>
        </w:rPr>
        <w:t>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其余需要等电位连接设备的</w:t>
      </w:r>
      <w:r>
        <w:rPr>
          <w:rFonts w:hint="eastAsia" w:ascii="Times New Roman" w:hAnsi="Times New Roman" w:eastAsia="仿宋_GB2312" w:cs="Times New Roman"/>
          <w:color w:val="auto"/>
          <w:kern w:val="2"/>
          <w:sz w:val="32"/>
          <w:szCs w:val="32"/>
          <w:lang w:val="en-US" w:eastAsia="zh-CN" w:bidi="ar-SA"/>
        </w:rPr>
        <w:t>过渡</w:t>
      </w:r>
      <w:r>
        <w:rPr>
          <w:rFonts w:hint="default" w:ascii="Times New Roman" w:hAnsi="Times New Roman" w:eastAsia="仿宋_GB2312" w:cs="Times New Roman"/>
          <w:color w:val="auto"/>
          <w:kern w:val="2"/>
          <w:sz w:val="32"/>
          <w:szCs w:val="32"/>
          <w:lang w:val="en-US" w:eastAsia="zh-CN" w:bidi="ar-SA"/>
        </w:rPr>
        <w:t>电</w:t>
      </w:r>
      <w:r>
        <w:rPr>
          <w:rFonts w:hint="default" w:ascii="Times New Roman" w:hAnsi="Times New Roman" w:eastAsia="仿宋_GB2312" w:cs="Times New Roman"/>
          <w:color w:val="auto"/>
          <w:spacing w:val="-11"/>
          <w:kern w:val="2"/>
          <w:sz w:val="32"/>
          <w:szCs w:val="32"/>
          <w:lang w:val="en-US" w:eastAsia="zh-CN" w:bidi="ar-SA"/>
        </w:rPr>
        <w:t>阻，数量大于2处的，</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为见附表b，修约值</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（3）静设备区设施接地及等电位连接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静设备上放空管：</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是否完全覆盖（指接闪器）。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平台金属栏杆：</w:t>
      </w:r>
      <w:r>
        <w:rPr>
          <w:rFonts w:hint="eastAsia" w:ascii="Times New Roman" w:hAnsi="Times New Roman" w:eastAsia="仿宋_GB2312" w:cs="Times New Roman"/>
          <w:color w:val="auto"/>
          <w:kern w:val="2"/>
          <w:sz w:val="32"/>
          <w:szCs w:val="32"/>
          <w:lang w:val="en-US" w:eastAsia="zh-CN" w:bidi="ar-SA"/>
        </w:rPr>
        <w:t>填写过渡</w:t>
      </w:r>
      <w:r>
        <w:rPr>
          <w:rFonts w:hint="default" w:ascii="Times New Roman" w:hAnsi="Times New Roman" w:eastAsia="仿宋_GB2312" w:cs="Times New Roman"/>
          <w:color w:val="auto"/>
          <w:kern w:val="2"/>
          <w:sz w:val="32"/>
          <w:szCs w:val="32"/>
          <w:lang w:val="en-US" w:eastAsia="zh-CN" w:bidi="ar-SA"/>
        </w:rPr>
        <w:t>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非金属或壁厚＜4mm静设备防护情况：</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是否完全覆盖（指接闪器）。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冲击接地电阻：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等电位连接性能：</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其余需要等电位连接设备的</w:t>
      </w:r>
      <w:r>
        <w:rPr>
          <w:rFonts w:hint="eastAsia" w:ascii="Times New Roman" w:hAnsi="Times New Roman" w:eastAsia="仿宋_GB2312" w:cs="Times New Roman"/>
          <w:color w:val="auto"/>
          <w:spacing w:val="-6"/>
          <w:kern w:val="2"/>
          <w:sz w:val="32"/>
          <w:szCs w:val="32"/>
          <w:lang w:val="en-US" w:eastAsia="zh-CN" w:bidi="ar-SA"/>
        </w:rPr>
        <w:t>过渡</w:t>
      </w:r>
      <w:r>
        <w:rPr>
          <w:rFonts w:hint="default" w:ascii="Times New Roman" w:hAnsi="Times New Roman" w:eastAsia="仿宋_GB2312" w:cs="Times New Roman"/>
          <w:color w:val="auto"/>
          <w:spacing w:val="-6"/>
          <w:kern w:val="2"/>
          <w:sz w:val="32"/>
          <w:szCs w:val="32"/>
          <w:lang w:val="en-US" w:eastAsia="zh-CN" w:bidi="ar-SA"/>
        </w:rPr>
        <w:t>电阻，数量大于2处的，</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为见附表b，修约值</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（4）机器设备区等电位连接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机器设备与接地基准点的过渡电阻，数量大于2处的，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跨接性能：指管道的跨接，</w:t>
      </w:r>
      <w:r>
        <w:rPr>
          <w:rFonts w:hint="eastAsia" w:ascii="Times New Roman" w:hAnsi="Times New Roman" w:eastAsia="仿宋_GB2312" w:cs="Times New Roman"/>
          <w:color w:val="auto"/>
          <w:kern w:val="2"/>
          <w:sz w:val="32"/>
          <w:szCs w:val="32"/>
          <w:lang w:val="en-US" w:eastAsia="zh-CN" w:bidi="ar-SA"/>
        </w:rPr>
        <w:t>填写过渡</w:t>
      </w:r>
      <w:r>
        <w:rPr>
          <w:rFonts w:hint="default" w:ascii="Times New Roman" w:hAnsi="Times New Roman" w:eastAsia="仿宋_GB2312" w:cs="Times New Roman"/>
          <w:color w:val="auto"/>
          <w:kern w:val="2"/>
          <w:sz w:val="32"/>
          <w:szCs w:val="32"/>
          <w:lang w:val="en-US" w:eastAsia="zh-CN" w:bidi="ar-SA"/>
        </w:rPr>
        <w:t>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安装工艺</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“焊接”或“螺钉”或“螺栓连接”；当采用焊接时，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“焊接”，焊接长度：实测修约值（mm）。</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（5）罐区等电位连接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电气连接性能：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罐区罐体与接地基准点的过渡电阻，数量大于2处的，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安装工艺</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“焊接”或“螺钉”或“螺栓连接”；当采用焊接时，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“焊接”，焊接长度：实测修约值（mm）。</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（6）可燃气液体装卸站接地及等电位连接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可燃气体输送管道：</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冲击接地电阻值，数量大于2处</w:t>
      </w:r>
      <w:r>
        <w:rPr>
          <w:rFonts w:hint="eastAsia" w:eastAsia="仿宋_GB2312" w:cs="Times New Roman"/>
          <w:color w:val="auto"/>
          <w:kern w:val="2"/>
          <w:sz w:val="32"/>
          <w:szCs w:val="32"/>
          <w:lang w:val="en-US" w:eastAsia="zh-CN" w:bidi="ar-SA"/>
        </w:rPr>
        <w:t>的</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安装工艺</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“焊接”或“螺钉”或“螺栓连接”；当采用焊接时，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“焊接”，焊接长度：实测修约值（mm）。</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各种金属管道、设备线路屏蔽管、金属构件等，鹤管，槽车等与接地基准点的过渡电阻，数量大于2处的，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（7）粉、粒料桶仓</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检测表</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同建筑物。</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（8）框架管架和管道接地及等电位连接：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爬梯、电缆支架、栏杆接地情况：</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是否接地，并测试与管架之间的过渡电阻，数量大于2处的，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管道等电位连接：</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是否接地，并测试与管架之间的过渡</w:t>
      </w:r>
      <w:r>
        <w:rPr>
          <w:rFonts w:hint="eastAsia" w:ascii="Times New Roman" w:hAnsi="Times New Roman" w:eastAsia="仿宋_GB2312" w:cs="Times New Roman"/>
          <w:color w:val="auto"/>
          <w:spacing w:val="-6"/>
          <w:kern w:val="2"/>
          <w:sz w:val="32"/>
          <w:szCs w:val="32"/>
          <w:lang w:val="en-US" w:eastAsia="zh-CN" w:bidi="ar-SA"/>
        </w:rPr>
        <w:t>电阻</w:t>
      </w:r>
      <w:r>
        <w:rPr>
          <w:rFonts w:hint="default" w:ascii="Times New Roman" w:hAnsi="Times New Roman" w:eastAsia="仿宋_GB2312" w:cs="Times New Roman"/>
          <w:color w:val="auto"/>
          <w:spacing w:val="-6"/>
          <w:kern w:val="2"/>
          <w:sz w:val="32"/>
          <w:szCs w:val="32"/>
          <w:lang w:val="en-US" w:eastAsia="zh-CN" w:bidi="ar-SA"/>
        </w:rPr>
        <w:t>，数量大于2处的，</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为见附表b，修约值</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平行敷设金属管道：</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跨接点数量。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输送可燃介质管道防雷电感应：</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工频接地电阻，数量大于2处的，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法兰、电气设备、屏蔽管（线）等与接地基准点（ERP）之间的过渡电阻，数量大于2处的，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（9）冷却塔：</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敷设形式：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自然通风开放式冷却塔和机械鼓风逆流式冷却塔：</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“明敷塔顶/接闪导线”</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自然通风风筒式冷却塔（双曲线塔）：</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“明敷塔檐/接闪器（接闪杆、带、线）”</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57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pacing w:val="-17"/>
          <w:kern w:val="2"/>
          <w:sz w:val="32"/>
          <w:szCs w:val="32"/>
          <w:lang w:val="en-US" w:eastAsia="zh-CN" w:bidi="ar-SA"/>
        </w:rPr>
        <w:t>机械抽风逆流式塔：</w:t>
      </w:r>
      <w:r>
        <w:rPr>
          <w:rFonts w:hint="eastAsia" w:ascii="Times New Roman" w:hAnsi="Times New Roman" w:eastAsia="仿宋_GB2312" w:cs="Times New Roman"/>
          <w:color w:val="auto"/>
          <w:spacing w:val="-17"/>
          <w:kern w:val="2"/>
          <w:sz w:val="32"/>
          <w:szCs w:val="32"/>
          <w:lang w:val="en-US" w:eastAsia="zh-CN" w:bidi="ar-SA"/>
        </w:rPr>
        <w:t>填写</w:t>
      </w:r>
      <w:r>
        <w:rPr>
          <w:rFonts w:hint="default" w:ascii="Times New Roman" w:hAnsi="Times New Roman" w:eastAsia="仿宋_GB2312" w:cs="Times New Roman"/>
          <w:color w:val="auto"/>
          <w:spacing w:val="-17"/>
          <w:kern w:val="2"/>
          <w:sz w:val="32"/>
          <w:szCs w:val="32"/>
          <w:lang w:val="en-US" w:eastAsia="zh-CN" w:bidi="ar-SA"/>
        </w:rPr>
        <w:t>“明敷檐口/接闪器（接闪杆、带、线）”</w:t>
      </w:r>
      <w:r>
        <w:rPr>
          <w:rFonts w:hint="eastAsia" w:ascii="Times New Roman" w:hAnsi="Times New Roman" w:eastAsia="仿宋_GB2312" w:cs="Times New Roman"/>
          <w:color w:val="auto"/>
          <w:spacing w:val="-17"/>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机械抽风逆流式冷却塔：处于建筑物防护范围内时，</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“自然/建筑物”，否则</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“明敷塔檐/接闪器（接闪杆、带、线）”。</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接闪网格：在爆炸危险环境2区</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≤10m×10m或12m×8m；在非爆炸危险区域</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≤20m×20m或24m×16m。</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固定支架的垂直拉力：当为接闪带时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“方位/牢固”或“方位/松动”或“方位/脱落”；当为接闪杆或接闪导线时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“牢固”或“不牢固”。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电气连接性能：指与其有联系的钢楼梯、进</w:t>
      </w:r>
      <w:r>
        <w:rPr>
          <w:rFonts w:hint="eastAsia" w:ascii="Times New Roman" w:hAnsi="Times New Roman" w:eastAsia="仿宋_GB2312" w:cs="Times New Roman"/>
          <w:color w:val="auto"/>
          <w:kern w:val="2"/>
          <w:sz w:val="32"/>
          <w:szCs w:val="32"/>
          <w:lang w:val="en-US" w:eastAsia="zh-CN" w:bidi="ar-SA"/>
        </w:rPr>
        <w:t>出水管</w:t>
      </w:r>
      <w:r>
        <w:rPr>
          <w:rFonts w:hint="default" w:ascii="Times New Roman" w:hAnsi="Times New Roman" w:eastAsia="仿宋_GB2312" w:cs="Times New Roman"/>
          <w:color w:val="auto"/>
          <w:kern w:val="2"/>
          <w:sz w:val="32"/>
          <w:szCs w:val="32"/>
          <w:lang w:val="en-US" w:eastAsia="zh-CN" w:bidi="ar-SA"/>
        </w:rPr>
        <w:t>等连接处的过渡电阻，数量大于2处的，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电气贯通性能：指接地线、PE线、屏蔽层、穿线钢管、电缆沟的钢筋或金属管道等连接处的过渡电阻，数量大于2处的，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其余检测内容</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同建筑物。</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注：冷却塔指双曲线塔、自然通风开放式、机械鼓风逆流式、机械抽风逆流式塔。</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（10）烟囱和火炬：</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检测内容</w:t>
      </w: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同上。</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（11）户外排放设施（放散管、呼吸阀、排风管、自然通风管）安全措施：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阻火器、管帽：</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“有效覆盖”或“未有效覆盖”，当处于其他接闪器保护时，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“有效覆盖/接闪器名称”。</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与雷电防护装置相连：指阻火器、管帽等与接地基准点（ERP）之间的过渡电阻，数量大于2处的，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非金属排放设施防护：</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“有效覆盖”或“未有效覆盖”，当处于其他接闪器保护时，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“有效覆盖/接闪器名称”。</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（12）平台照明灯、现场操作箱、航空障碍灯：</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金属外壳、保护罩：</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数量。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线缆屏蔽方式：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“穿镀锌钢管”。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等电位连接性能：指金属外壳、保护罩、屏蔽层等与钢平台或金属</w:t>
      </w:r>
      <w:r>
        <w:rPr>
          <w:rFonts w:hint="eastAsia" w:ascii="Times New Roman" w:hAnsi="Times New Roman" w:eastAsia="仿宋_GB2312" w:cs="Times New Roman"/>
          <w:color w:val="auto"/>
          <w:kern w:val="2"/>
          <w:sz w:val="32"/>
          <w:szCs w:val="32"/>
          <w:lang w:val="en-US" w:eastAsia="zh-CN" w:bidi="ar-SA"/>
        </w:rPr>
        <w:t>栏杆</w:t>
      </w:r>
      <w:r>
        <w:rPr>
          <w:rFonts w:hint="default" w:ascii="Times New Roman" w:hAnsi="Times New Roman" w:eastAsia="仿宋_GB2312" w:cs="Times New Roman"/>
          <w:color w:val="auto"/>
          <w:kern w:val="2"/>
          <w:sz w:val="32"/>
          <w:szCs w:val="32"/>
          <w:lang w:val="en-US" w:eastAsia="zh-CN" w:bidi="ar-SA"/>
        </w:rPr>
        <w:t>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（13）供电制式</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69" w:name="_Toc4696"/>
      <w:bookmarkStart w:id="170" w:name="_Toc8146"/>
      <w:r>
        <w:rPr>
          <w:rFonts w:hint="eastAsia" w:ascii="黑体" w:hAnsi="黑体" w:eastAsia="黑体" w:cs="黑体"/>
          <w:b w:val="0"/>
          <w:bCs w:val="0"/>
          <w:color w:val="auto"/>
          <w:lang w:val="en-US" w:eastAsia="zh-CN"/>
        </w:rPr>
        <w:t>15.8 液化石油气瓶装供应站雷电防护装置检测报告表</w:t>
      </w:r>
      <w:bookmarkEnd w:id="169"/>
      <w:bookmarkEnd w:id="170"/>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液化石油气瓶装供应站雷电防护装置检测报告表不涉及办公、附属生活建筑。办公、附属生活建筑按照建筑物雷电防护装置检测报告模板出具报告。</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（1）生产区金属设施接地及等电位连接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泵和压缩机、液位计及压力表、可燃气体检测及泄漏报警装置、消防设备、磅秤：</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实测工频接地电阻值，数量大于2处的，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金属法兰跨接、卸气（液）管口、放散管、平行敷设管道跨接、加液枪/残液枪/装瓶枪：</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数量，其与接地基准点（ERP）之间的过渡电阻，数量大于2处的，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高杆灯接地：</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楷体" w:cs="Times New Roman"/>
          <w:b/>
          <w:bCs/>
          <w:color w:val="auto"/>
          <w:sz w:val="32"/>
          <w:szCs w:val="32"/>
          <w:lang w:val="en-US" w:eastAsia="zh-CN"/>
        </w:rPr>
        <w:t>（2）储罐区、罐装区</w:t>
      </w:r>
      <w:r>
        <w:rPr>
          <w:rFonts w:hint="eastAsia" w:eastAsia="楷体" w:cs="Times New Roman"/>
          <w:b/>
          <w:bCs/>
          <w:color w:val="auto"/>
          <w:sz w:val="32"/>
          <w:szCs w:val="32"/>
          <w:lang w:val="en-US" w:eastAsia="zh-CN"/>
        </w:rPr>
        <w:t>罐体</w:t>
      </w:r>
      <w:r>
        <w:rPr>
          <w:rFonts w:hint="default" w:ascii="Times New Roman" w:hAnsi="Times New Roman" w:eastAsia="楷体" w:cs="Times New Roman"/>
          <w:b/>
          <w:bCs/>
          <w:color w:val="auto"/>
          <w:sz w:val="32"/>
          <w:szCs w:val="32"/>
          <w:lang w:val="en-US" w:eastAsia="zh-CN"/>
        </w:rPr>
        <w:t>接地及等电位连接</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方法参照加油（气）站。</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（3）供电制式</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71" w:name="_Toc12525"/>
      <w:bookmarkStart w:id="172" w:name="_Toc5853"/>
      <w:r>
        <w:rPr>
          <w:rFonts w:hint="eastAsia" w:ascii="黑体" w:hAnsi="黑体" w:eastAsia="黑体" w:cs="黑体"/>
          <w:b w:val="0"/>
          <w:bCs w:val="0"/>
          <w:color w:val="auto"/>
          <w:lang w:val="en-US" w:eastAsia="zh-CN"/>
        </w:rPr>
        <w:t>15.9 煤炭矿区雷电防护装置检测报告表</w:t>
      </w:r>
      <w:bookmarkEnd w:id="171"/>
      <w:bookmarkEnd w:id="172"/>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煤炭矿区雷电防护装置检测报告表不涉及办公、附属生活建筑。办公、附属生活建筑按照建筑物雷电防护装置检测报告模板出具报告。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浪涌保护器含接触网浪涌保护器、低压供电系统浪涌保护器。</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pacing w:val="-6"/>
          <w:sz w:val="32"/>
          <w:szCs w:val="32"/>
          <w:lang w:val="en-US" w:eastAsia="zh-CN"/>
        </w:rPr>
      </w:pPr>
      <w:r>
        <w:rPr>
          <w:rFonts w:hint="default" w:ascii="Times New Roman" w:hAnsi="Times New Roman" w:eastAsia="楷体" w:cs="Times New Roman"/>
          <w:b/>
          <w:bCs/>
          <w:color w:val="auto"/>
          <w:sz w:val="32"/>
          <w:szCs w:val="32"/>
          <w:lang w:val="en-US" w:eastAsia="zh-CN"/>
        </w:rPr>
        <w:t>（1）</w:t>
      </w:r>
      <w:r>
        <w:rPr>
          <w:rFonts w:hint="default" w:ascii="Times New Roman" w:hAnsi="Times New Roman" w:eastAsia="楷体" w:cs="Times New Roman"/>
          <w:b/>
          <w:bCs/>
          <w:color w:val="auto"/>
          <w:spacing w:val="-6"/>
          <w:sz w:val="32"/>
          <w:szCs w:val="32"/>
          <w:lang w:val="en-US" w:eastAsia="zh-CN"/>
        </w:rPr>
        <w:t>矿井长金属管道、金属设施、接触网接地与等电位连接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金属管道的平行交叉净距：</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进入井下电缆金属外皮、接地芯线与设备的金属外壳：</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数量，其与接地基准点（ERP）之间的过渡电阻，数量大于2处的，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入附表b中。</w:t>
      </w:r>
    </w:p>
    <w:p>
      <w:pPr>
        <w:keepNext w:val="0"/>
        <w:keepLines w:val="0"/>
        <w:pageBreakBefore w:val="0"/>
        <w:widowControl w:val="0"/>
        <w:kinsoku/>
        <w:wordWrap/>
        <w:overflowPunct/>
        <w:topLinePunct w:val="0"/>
        <w:autoSpaceDE/>
        <w:autoSpaceDN/>
        <w:bidi w:val="0"/>
        <w:adjustRightInd/>
        <w:snapToGrid/>
        <w:spacing w:line="540" w:lineRule="exact"/>
        <w:ind w:firstLine="596" w:firstLineChars="200"/>
        <w:jc w:val="both"/>
        <w:textAlignment w:val="auto"/>
        <w:rPr>
          <w:rFonts w:hint="default" w:ascii="Times New Roman" w:hAnsi="Times New Roman" w:eastAsia="仿宋_GB2312" w:cs="Times New Roman"/>
          <w:color w:val="auto"/>
          <w:spacing w:val="-11"/>
          <w:kern w:val="2"/>
          <w:sz w:val="32"/>
          <w:szCs w:val="32"/>
          <w:lang w:val="en-US" w:eastAsia="zh-CN" w:bidi="ar-SA"/>
        </w:rPr>
      </w:pPr>
      <w:r>
        <w:rPr>
          <w:rFonts w:hint="default" w:ascii="Times New Roman" w:hAnsi="Times New Roman" w:eastAsia="仿宋_GB2312" w:cs="Times New Roman"/>
          <w:color w:val="auto"/>
          <w:spacing w:val="-11"/>
          <w:kern w:val="2"/>
          <w:sz w:val="32"/>
          <w:szCs w:val="32"/>
          <w:lang w:val="en-US" w:eastAsia="zh-CN" w:bidi="ar-SA"/>
        </w:rPr>
        <w:t>距井口200m内架空敷设的金属管道的接地</w:t>
      </w:r>
      <w:r>
        <w:rPr>
          <w:rFonts w:hint="eastAsia" w:eastAsia="仿宋_GB2312" w:cs="Times New Roman"/>
          <w:color w:val="auto"/>
          <w:spacing w:val="-11"/>
          <w:kern w:val="2"/>
          <w:sz w:val="32"/>
          <w:szCs w:val="32"/>
          <w:lang w:val="en-US" w:eastAsia="zh-CN" w:bidi="ar-SA"/>
        </w:rPr>
        <w:t>间距</w:t>
      </w:r>
      <w:r>
        <w:rPr>
          <w:rFonts w:hint="default" w:ascii="Times New Roman" w:hAnsi="Times New Roman" w:eastAsia="仿宋_GB2312" w:cs="Times New Roman"/>
          <w:color w:val="auto"/>
          <w:spacing w:val="-11"/>
          <w:kern w:val="2"/>
          <w:sz w:val="32"/>
          <w:szCs w:val="32"/>
          <w:lang w:val="en-US" w:eastAsia="zh-CN" w:bidi="ar-SA"/>
        </w:rPr>
        <w:t>：</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实测修约值，数量大于2处的，</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为见附表a，修约值</w:t>
      </w:r>
      <w:r>
        <w:rPr>
          <w:rFonts w:hint="eastAsia" w:ascii="Times New Roman" w:hAnsi="Times New Roman" w:eastAsia="仿宋_GB2312" w:cs="Times New Roman"/>
          <w:color w:val="auto"/>
          <w:spacing w:val="-11"/>
          <w:kern w:val="2"/>
          <w:sz w:val="32"/>
          <w:szCs w:val="32"/>
          <w:lang w:val="en-US" w:eastAsia="zh-CN" w:bidi="ar-SA"/>
        </w:rPr>
        <w:t>填写</w:t>
      </w:r>
      <w:r>
        <w:rPr>
          <w:rFonts w:hint="default" w:ascii="Times New Roman" w:hAnsi="Times New Roman" w:eastAsia="仿宋_GB2312" w:cs="Times New Roman"/>
          <w:color w:val="auto"/>
          <w:spacing w:val="-11"/>
          <w:kern w:val="2"/>
          <w:sz w:val="32"/>
          <w:szCs w:val="32"/>
          <w:lang w:val="en-US" w:eastAsia="zh-CN" w:bidi="ar-SA"/>
        </w:rPr>
        <w:t>入附表a中。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接触网接地电阻：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实测修约值，数量大于2处的，</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为见附表a，修约值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入附表a中。</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（2）供电制式</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“地面TN-S”或“井下IT”。</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73" w:name="_Toc29304"/>
      <w:bookmarkStart w:id="174" w:name="_Toc4144"/>
      <w:r>
        <w:rPr>
          <w:rFonts w:hint="eastAsia" w:ascii="黑体" w:hAnsi="黑体" w:eastAsia="黑体" w:cs="黑体"/>
          <w:b w:val="0"/>
          <w:bCs w:val="0"/>
          <w:color w:val="auto"/>
          <w:lang w:val="en-US" w:eastAsia="zh-CN"/>
        </w:rPr>
        <w:t>15.10 旅游景区雷电防护装置检测报告表</w:t>
      </w:r>
      <w:bookmarkEnd w:id="173"/>
      <w:bookmarkEnd w:id="174"/>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旅游景区雷电防护装置检测报告表不涉及办公、附属生活建筑等。办公、附属生活建筑等按照建筑物雷电防护装置检测报告模板出具报告。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供电制式：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“TN-S”或“TN-C-S”或“TT”（户外设施、山地、古树区域）。</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75" w:name="_Toc15364"/>
      <w:bookmarkStart w:id="176" w:name="_Toc23540"/>
      <w:r>
        <w:rPr>
          <w:rFonts w:hint="eastAsia" w:ascii="黑体" w:hAnsi="黑体" w:eastAsia="黑体" w:cs="黑体"/>
          <w:b w:val="0"/>
          <w:bCs w:val="0"/>
          <w:color w:val="auto"/>
          <w:lang w:val="en-US" w:eastAsia="zh-CN"/>
        </w:rPr>
        <w:t>15.11 风力发电机组雷电防护装置检测报告表</w:t>
      </w:r>
      <w:bookmarkEnd w:id="175"/>
      <w:bookmarkEnd w:id="176"/>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风力发电机组雷电防护装置检测报告表不涉及办公、附属生活建筑等。办公、附属生活建筑等按照建筑物雷电防护装置检测报告模板出具报告。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按照每个风机为一个单体出具检测报告。</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（1）叶片接闪装置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形式：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“金属尖叶”或“点状”</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数量：与</w:t>
      </w:r>
      <w:r>
        <w:rPr>
          <w:rFonts w:hint="eastAsia" w:ascii="Times New Roman" w:hAnsi="Times New Roman" w:eastAsia="仿宋_GB2312" w:cs="Times New Roman"/>
          <w:color w:val="auto"/>
          <w:kern w:val="2"/>
          <w:sz w:val="32"/>
          <w:szCs w:val="32"/>
          <w:lang w:val="en-US" w:eastAsia="zh-CN" w:bidi="ar-SA"/>
        </w:rPr>
        <w:t>设计</w:t>
      </w:r>
      <w:r>
        <w:rPr>
          <w:rFonts w:hint="default" w:ascii="Times New Roman" w:hAnsi="Times New Roman" w:eastAsia="仿宋_GB2312" w:cs="Times New Roman"/>
          <w:color w:val="auto"/>
          <w:kern w:val="2"/>
          <w:sz w:val="32"/>
          <w:szCs w:val="32"/>
          <w:lang w:val="en-US" w:eastAsia="zh-CN" w:bidi="ar-SA"/>
        </w:rPr>
        <w:t>值对比，</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实际数量。</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（2）叶片引下线</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形式：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“铜导线”或“铝合金导线”</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与叶尖电气导通性：指引下线与叶尖过渡电阻，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实测修约值，大于2处时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（3）机舱接闪器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叶片根部法兰与引下线电气导通性、引下线与接闪器的电气导通性：指的是连接处的过渡电阻，</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实测修约值，大于2处时</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为见附表b。</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（4）等电位连接</w:t>
      </w:r>
    </w:p>
    <w:p>
      <w:pPr>
        <w:keepNext w:val="0"/>
        <w:keepLines w:val="0"/>
        <w:pageBreakBefore w:val="0"/>
        <w:widowControl w:val="0"/>
        <w:kinsoku/>
        <w:wordWrap/>
        <w:overflowPunct/>
        <w:topLinePunct w:val="0"/>
        <w:autoSpaceDE/>
        <w:autoSpaceDN/>
        <w:bidi w:val="0"/>
        <w:adjustRightInd/>
        <w:snapToGrid/>
        <w:spacing w:line="540" w:lineRule="exact"/>
        <w:ind w:firstLine="572" w:firstLineChars="200"/>
        <w:jc w:val="left"/>
        <w:textAlignment w:val="auto"/>
        <w:rPr>
          <w:rFonts w:hint="default" w:ascii="Times New Roman" w:hAnsi="Times New Roman" w:eastAsia="仿宋_GB2312" w:cs="Times New Roman"/>
          <w:color w:val="auto"/>
          <w:spacing w:val="-17"/>
          <w:kern w:val="2"/>
          <w:sz w:val="32"/>
          <w:szCs w:val="32"/>
          <w:lang w:val="en-US" w:eastAsia="zh-CN" w:bidi="ar-SA"/>
        </w:rPr>
      </w:pPr>
      <w:r>
        <w:rPr>
          <w:rFonts w:hint="default" w:ascii="Times New Roman" w:hAnsi="Times New Roman" w:eastAsia="仿宋_GB2312" w:cs="Times New Roman"/>
          <w:color w:val="auto"/>
          <w:spacing w:val="-17"/>
          <w:kern w:val="2"/>
          <w:sz w:val="32"/>
          <w:szCs w:val="32"/>
          <w:lang w:val="en-US" w:eastAsia="zh-CN" w:bidi="ar-SA"/>
        </w:rPr>
        <w:t>电气导通性、跨线：指的是连接处的过渡电阻，</w:t>
      </w:r>
      <w:r>
        <w:rPr>
          <w:rFonts w:hint="eastAsia" w:ascii="Times New Roman" w:hAnsi="Times New Roman" w:eastAsia="仿宋_GB2312" w:cs="Times New Roman"/>
          <w:color w:val="auto"/>
          <w:spacing w:val="-17"/>
          <w:kern w:val="2"/>
          <w:sz w:val="32"/>
          <w:szCs w:val="32"/>
          <w:lang w:val="en-US" w:eastAsia="zh-CN" w:bidi="ar-SA"/>
        </w:rPr>
        <w:t>填写</w:t>
      </w:r>
      <w:r>
        <w:rPr>
          <w:rFonts w:hint="default" w:ascii="Times New Roman" w:hAnsi="Times New Roman" w:eastAsia="仿宋_GB2312" w:cs="Times New Roman"/>
          <w:color w:val="auto"/>
          <w:spacing w:val="-17"/>
          <w:kern w:val="2"/>
          <w:sz w:val="32"/>
          <w:szCs w:val="32"/>
          <w:lang w:val="en-US" w:eastAsia="zh-CN" w:bidi="ar-SA"/>
        </w:rPr>
        <w:t>实测修约值。</w:t>
      </w:r>
    </w:p>
    <w:p>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spacing w:val="-6"/>
          <w:kern w:val="2"/>
          <w:sz w:val="32"/>
          <w:szCs w:val="32"/>
          <w:lang w:val="en-US" w:eastAsia="zh-CN" w:bidi="ar-SA"/>
        </w:rPr>
        <w:t>接地电阻：按3个方位实测，测量3组，</w:t>
      </w:r>
      <w:r>
        <w:rPr>
          <w:rFonts w:hint="eastAsia" w:ascii="Times New Roman" w:hAnsi="Times New Roman" w:eastAsia="仿宋_GB2312" w:cs="Times New Roman"/>
          <w:color w:val="auto"/>
          <w:spacing w:val="-6"/>
          <w:kern w:val="2"/>
          <w:sz w:val="32"/>
          <w:szCs w:val="32"/>
          <w:lang w:val="en-US" w:eastAsia="zh-CN" w:bidi="ar-SA"/>
        </w:rPr>
        <w:t>填写</w:t>
      </w:r>
      <w:r>
        <w:rPr>
          <w:rFonts w:hint="default" w:ascii="Times New Roman" w:hAnsi="Times New Roman" w:eastAsia="仿宋_GB2312" w:cs="Times New Roman"/>
          <w:color w:val="auto"/>
          <w:spacing w:val="-6"/>
          <w:kern w:val="2"/>
          <w:sz w:val="32"/>
          <w:szCs w:val="32"/>
          <w:lang w:val="en-US" w:eastAsia="zh-CN" w:bidi="ar-SA"/>
        </w:rPr>
        <w:t>修约值平均值。</w:t>
      </w:r>
    </w:p>
    <w:p>
      <w:pPr>
        <w:pStyle w:val="5"/>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楷体" w:cs="Times New Roman"/>
          <w:b/>
          <w:bCs/>
          <w:color w:val="auto"/>
          <w:sz w:val="32"/>
          <w:szCs w:val="32"/>
          <w:lang w:val="en-US" w:eastAsia="zh-CN"/>
        </w:rPr>
      </w:pPr>
      <w:r>
        <w:rPr>
          <w:rFonts w:hint="default" w:ascii="Times New Roman" w:hAnsi="Times New Roman" w:eastAsia="楷体" w:cs="Times New Roman"/>
          <w:b/>
          <w:bCs/>
          <w:color w:val="auto"/>
          <w:sz w:val="32"/>
          <w:szCs w:val="32"/>
          <w:lang w:val="en-US" w:eastAsia="zh-CN"/>
        </w:rPr>
        <w:t>（5）浪涌保护器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方法同前。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供电制式：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“TN-S”或“TN-C-S”或“TT”。</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黑体" w:hAnsi="黑体" w:eastAsia="黑体" w:cs="黑体"/>
          <w:b w:val="0"/>
          <w:bCs w:val="0"/>
          <w:color w:val="auto"/>
          <w:lang w:val="en-US" w:eastAsia="zh-CN"/>
        </w:rPr>
      </w:pPr>
      <w:bookmarkStart w:id="177" w:name="_Toc11213"/>
      <w:bookmarkStart w:id="178" w:name="_Toc12054"/>
      <w:r>
        <w:rPr>
          <w:rFonts w:hint="eastAsia" w:ascii="黑体" w:hAnsi="黑体" w:eastAsia="黑体" w:cs="黑体"/>
          <w:b w:val="0"/>
          <w:bCs w:val="0"/>
          <w:color w:val="auto"/>
          <w:lang w:val="en-US" w:eastAsia="zh-CN"/>
        </w:rPr>
        <w:t>15.12 太阳能光伏系统雷电防护装置检测报告表</w:t>
      </w:r>
      <w:bookmarkEnd w:id="177"/>
      <w:bookmarkEnd w:id="178"/>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太阳能光伏系统雷电防护装置检测报告表不涉及办公、附属生活建筑等。办公、附属生活建筑等按照建筑物雷电防护装置检测报告模板出具报告。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按照每个光伏阵列为一个单体出具检测报告。</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供电制式：</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“直流”或“交流”或“TN-S”。</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default" w:ascii="黑体" w:hAnsi="黑体" w:eastAsia="黑体" w:cs="黑体"/>
          <w:b w:val="0"/>
          <w:bCs w:val="0"/>
          <w:color w:val="auto"/>
          <w:lang w:val="en-US" w:eastAsia="zh-CN"/>
        </w:rPr>
      </w:pPr>
      <w:bookmarkStart w:id="179" w:name="_Toc6506"/>
      <w:bookmarkStart w:id="180" w:name="_Toc31005"/>
      <w:bookmarkStart w:id="181" w:name="_Toc4758"/>
      <w:r>
        <w:rPr>
          <w:rFonts w:hint="default" w:ascii="黑体" w:hAnsi="黑体" w:eastAsia="黑体" w:cs="黑体"/>
          <w:b w:val="0"/>
          <w:bCs w:val="0"/>
          <w:color w:val="auto"/>
          <w:lang w:val="en-US" w:eastAsia="zh-CN"/>
        </w:rPr>
        <w:t>1</w:t>
      </w:r>
      <w:r>
        <w:rPr>
          <w:rFonts w:hint="eastAsia" w:ascii="黑体" w:hAnsi="黑体" w:eastAsia="黑体" w:cs="黑体"/>
          <w:b w:val="0"/>
          <w:bCs w:val="0"/>
          <w:color w:val="auto"/>
          <w:lang w:val="en-US" w:eastAsia="zh-CN"/>
        </w:rPr>
        <w:t>6</w:t>
      </w:r>
      <w:r>
        <w:rPr>
          <w:rFonts w:hint="default" w:ascii="黑体" w:hAnsi="黑体" w:eastAsia="黑体" w:cs="黑体"/>
          <w:b w:val="0"/>
          <w:bCs w:val="0"/>
          <w:color w:val="auto"/>
          <w:lang w:val="en-US" w:eastAsia="zh-CN"/>
        </w:rPr>
        <w:t xml:space="preserve"> 其他</w:t>
      </w:r>
      <w:bookmarkEnd w:id="179"/>
      <w:bookmarkEnd w:id="180"/>
      <w:bookmarkEnd w:id="181"/>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GB/T21431</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2023规范中的锈蚀，在验收检测报告</w:t>
      </w:r>
      <w:r>
        <w:rPr>
          <w:rFonts w:hint="eastAsia" w:ascii="Times New Roman" w:hAnsi="Times New Roman" w:eastAsia="仿宋_GB2312" w:cs="Times New Roman"/>
          <w:color w:val="auto"/>
          <w:kern w:val="2"/>
          <w:sz w:val="32"/>
          <w:szCs w:val="32"/>
          <w:lang w:val="en-US" w:eastAsia="zh-CN" w:bidi="ar-SA"/>
        </w:rPr>
        <w:t>模板</w:t>
      </w:r>
      <w:r>
        <w:rPr>
          <w:rFonts w:hint="default" w:ascii="Times New Roman" w:hAnsi="Times New Roman" w:eastAsia="仿宋_GB2312" w:cs="Times New Roman"/>
          <w:color w:val="auto"/>
          <w:kern w:val="2"/>
          <w:sz w:val="32"/>
          <w:szCs w:val="32"/>
          <w:lang w:val="en-US" w:eastAsia="zh-CN" w:bidi="ar-SA"/>
        </w:rPr>
        <w:t>中表述为防腐措施，</w:t>
      </w:r>
      <w:r>
        <w:rPr>
          <w:rFonts w:hint="eastAsia" w:eastAsia="仿宋_GB2312" w:cs="Times New Roman"/>
          <w:color w:val="auto"/>
          <w:kern w:val="2"/>
          <w:sz w:val="32"/>
          <w:szCs w:val="32"/>
          <w:lang w:val="en-US" w:eastAsia="zh-CN" w:bidi="ar-SA"/>
        </w:rPr>
        <w:t>按判定标准及要点所列措施选填，</w:t>
      </w:r>
      <w:r>
        <w:rPr>
          <w:rFonts w:hint="default" w:ascii="Times New Roman" w:hAnsi="Times New Roman" w:eastAsia="仿宋_GB2312" w:cs="Times New Roman"/>
          <w:color w:val="auto"/>
          <w:kern w:val="2"/>
          <w:sz w:val="32"/>
          <w:szCs w:val="32"/>
          <w:lang w:val="en-US" w:eastAsia="zh-CN" w:bidi="ar-SA"/>
        </w:rPr>
        <w:t>在定期</w:t>
      </w:r>
      <w:r>
        <w:rPr>
          <w:rFonts w:hint="eastAsia" w:ascii="Times New Roman" w:hAnsi="Times New Roman" w:eastAsia="仿宋_GB2312" w:cs="Times New Roman"/>
          <w:color w:val="auto"/>
          <w:kern w:val="2"/>
          <w:sz w:val="32"/>
          <w:szCs w:val="32"/>
          <w:lang w:val="en-US" w:eastAsia="zh-CN" w:bidi="ar-SA"/>
        </w:rPr>
        <w:t>检测中</w:t>
      </w:r>
      <w:r>
        <w:rPr>
          <w:rFonts w:hint="default" w:ascii="Times New Roman" w:hAnsi="Times New Roman" w:eastAsia="仿宋_GB2312" w:cs="Times New Roman"/>
          <w:color w:val="auto"/>
          <w:kern w:val="2"/>
          <w:sz w:val="32"/>
          <w:szCs w:val="32"/>
          <w:lang w:val="en-US" w:eastAsia="zh-CN" w:bidi="ar-SA"/>
        </w:rPr>
        <w:t>表述为锈蚀</w:t>
      </w:r>
      <w:r>
        <w:rPr>
          <w:rFonts w:hint="eastAsia" w:eastAsia="仿宋_GB2312" w:cs="Times New Roman"/>
          <w:color w:val="auto"/>
          <w:kern w:val="2"/>
          <w:sz w:val="32"/>
          <w:szCs w:val="32"/>
          <w:lang w:val="en-US" w:eastAsia="zh-CN" w:bidi="ar-SA"/>
        </w:rPr>
        <w:t>，按前述要求填写。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（2）</w:t>
      </w:r>
      <w:r>
        <w:rPr>
          <w:rFonts w:hint="default" w:ascii="Times New Roman" w:hAnsi="Times New Roman" w:eastAsia="仿宋_GB2312" w:cs="Times New Roman"/>
          <w:color w:val="auto"/>
          <w:kern w:val="2"/>
          <w:sz w:val="32"/>
          <w:szCs w:val="32"/>
          <w:lang w:val="en-US" w:eastAsia="zh-CN" w:bidi="ar-SA"/>
        </w:rPr>
        <w:t>用罐体、设备、某装置自身等作为接闪器、引下线的材料规格</w:t>
      </w:r>
      <w:r>
        <w:rPr>
          <w:rFonts w:hint="eastAsia" w:ascii="Times New Roman" w:hAnsi="Times New Roman" w:eastAsia="仿宋_GB2312" w:cs="Times New Roman"/>
          <w:color w:val="auto"/>
          <w:kern w:val="2"/>
          <w:sz w:val="32"/>
          <w:szCs w:val="32"/>
          <w:lang w:val="en-US" w:eastAsia="zh-CN" w:bidi="ar-SA"/>
        </w:rPr>
        <w:t>填写</w:t>
      </w:r>
      <w:r>
        <w:rPr>
          <w:rFonts w:hint="default" w:ascii="Times New Roman" w:hAnsi="Times New Roman" w:eastAsia="仿宋_GB2312" w:cs="Times New Roman"/>
          <w:color w:val="auto"/>
          <w:kern w:val="2"/>
          <w:sz w:val="32"/>
          <w:szCs w:val="32"/>
          <w:lang w:val="en-US" w:eastAsia="zh-CN" w:bidi="ar-SA"/>
        </w:rPr>
        <w:t>本体，或设计值</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（3）接地基准点（ERP）接地性能：可从接地电阻值中直接选取，无需测试</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（4）当颁布新规范时，采用新规范条文，各专业在检测时</w:t>
      </w:r>
      <w:r>
        <w:rPr>
          <w:rFonts w:hint="default" w:ascii="Times New Roman" w:hAnsi="Times New Roman" w:eastAsia="仿宋_GB2312" w:cs="Times New Roman"/>
          <w:color w:val="auto"/>
          <w:spacing w:val="-6"/>
          <w:kern w:val="2"/>
          <w:sz w:val="32"/>
          <w:szCs w:val="32"/>
          <w:lang w:val="en-US" w:eastAsia="zh-CN" w:bidi="ar-SA"/>
        </w:rPr>
        <w:t>对模板内容根据其专业规范进行核对，对不完善的进行补充完善</w:t>
      </w:r>
      <w:r>
        <w:rPr>
          <w:rFonts w:hint="eastAsia" w:ascii="Times New Roman" w:hAnsi="Times New Roman" w:eastAsia="仿宋_GB2312" w:cs="Times New Roman"/>
          <w:color w:val="auto"/>
          <w:spacing w:val="-6"/>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（5）若模板检测内容无法包含检测实际情况时，</w:t>
      </w:r>
      <w:r>
        <w:rPr>
          <w:rFonts w:hint="eastAsia" w:ascii="Times New Roman" w:hAnsi="Times New Roman" w:eastAsia="仿宋_GB2312" w:cs="Times New Roman"/>
          <w:color w:val="auto"/>
          <w:kern w:val="2"/>
          <w:sz w:val="32"/>
          <w:szCs w:val="32"/>
          <w:lang w:val="en-US" w:eastAsia="zh-CN" w:bidi="ar-SA"/>
        </w:rPr>
        <w:t>检测机构</w:t>
      </w:r>
      <w:r>
        <w:rPr>
          <w:rFonts w:hint="default" w:ascii="Times New Roman" w:hAnsi="Times New Roman" w:eastAsia="仿宋_GB2312" w:cs="Times New Roman"/>
          <w:color w:val="auto"/>
          <w:kern w:val="2"/>
          <w:sz w:val="32"/>
          <w:szCs w:val="32"/>
          <w:lang w:val="en-US" w:eastAsia="zh-CN" w:bidi="ar-SA"/>
        </w:rPr>
        <w:t>在模板基础上增加检测内容，判定标准及要点</w:t>
      </w:r>
      <w:r>
        <w:rPr>
          <w:rFonts w:hint="eastAsia" w:ascii="Times New Roman" w:hAnsi="Times New Roman" w:eastAsia="仿宋_GB2312" w:cs="Times New Roman"/>
          <w:color w:val="auto"/>
          <w:kern w:val="2"/>
          <w:sz w:val="32"/>
          <w:szCs w:val="32"/>
          <w:lang w:val="en-US" w:eastAsia="zh-CN" w:bidi="ar-SA"/>
        </w:rPr>
        <w:t>应</w:t>
      </w:r>
      <w:r>
        <w:rPr>
          <w:rFonts w:hint="default" w:ascii="Times New Roman" w:hAnsi="Times New Roman" w:eastAsia="仿宋_GB2312" w:cs="Times New Roman"/>
          <w:color w:val="auto"/>
          <w:kern w:val="2"/>
          <w:sz w:val="32"/>
          <w:szCs w:val="32"/>
          <w:lang w:val="en-US" w:eastAsia="zh-CN" w:bidi="ar-SA"/>
        </w:rPr>
        <w:t>执行对应的技术规范。</w:t>
      </w:r>
    </w:p>
    <w:p>
      <w:pPr>
        <w:pStyle w:val="5"/>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6）检测结果的判定结论，检测表中应根据设计文件要求进行检测值比对判定，其判断依据为设计值；本年度报告检测判定结论应根据上年度的检测值与本次检测值应经过比对和评价，得出的结论须符合设计文件的要求，方能评定为符合。</w:t>
      </w:r>
    </w:p>
    <w:p>
      <w:pPr>
        <w:pStyle w:val="3"/>
        <w:keepNext/>
        <w:keepLines/>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default" w:ascii="黑体" w:hAnsi="黑体" w:eastAsia="黑体" w:cs="黑体"/>
          <w:b w:val="0"/>
          <w:bCs w:val="0"/>
          <w:color w:val="auto"/>
          <w:lang w:val="en-US" w:eastAsia="zh-CN"/>
        </w:rPr>
      </w:pPr>
      <w:bookmarkStart w:id="182" w:name="_Toc14899"/>
      <w:bookmarkStart w:id="183" w:name="_Toc30209"/>
      <w:bookmarkStart w:id="184" w:name="_Toc19449"/>
      <w:r>
        <w:rPr>
          <w:rFonts w:hint="default" w:ascii="黑体" w:hAnsi="黑体" w:eastAsia="黑体" w:cs="黑体"/>
          <w:b w:val="0"/>
          <w:bCs w:val="0"/>
          <w:color w:val="auto"/>
          <w:lang w:val="en-US" w:eastAsia="zh-CN"/>
        </w:rPr>
        <w:t>1</w:t>
      </w:r>
      <w:r>
        <w:rPr>
          <w:rFonts w:hint="eastAsia" w:ascii="黑体" w:hAnsi="黑体" w:eastAsia="黑体" w:cs="黑体"/>
          <w:b w:val="0"/>
          <w:bCs w:val="0"/>
          <w:color w:val="auto"/>
          <w:lang w:val="en-US" w:eastAsia="zh-CN"/>
        </w:rPr>
        <w:t>7</w:t>
      </w:r>
      <w:r>
        <w:rPr>
          <w:rFonts w:hint="default" w:ascii="黑体" w:hAnsi="黑体" w:eastAsia="黑体" w:cs="黑体"/>
          <w:b w:val="0"/>
          <w:bCs w:val="0"/>
          <w:color w:val="auto"/>
          <w:lang w:val="en-US" w:eastAsia="zh-CN"/>
        </w:rPr>
        <w:t xml:space="preserve"> 检测项目及方法</w:t>
      </w:r>
      <w:bookmarkEnd w:id="182"/>
      <w:bookmarkEnd w:id="183"/>
      <w:bookmarkEnd w:id="184"/>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检测项目及方法</w:t>
      </w:r>
      <w:r>
        <w:rPr>
          <w:rFonts w:hint="default" w:ascii="Times New Roman" w:hAnsi="Times New Roman" w:eastAsia="仿宋_GB2312" w:cs="Times New Roman"/>
          <w:color w:val="auto"/>
          <w:sz w:val="32"/>
          <w:szCs w:val="32"/>
        </w:rPr>
        <w:t>应结合实际以《建筑物雷电防护装置检测技术规范》（GB/T21431</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2023）等相关规范为准。</w:t>
      </w:r>
    </w:p>
    <w:p>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雷电防护装置检测项目及要求</w:t>
      </w:r>
    </w:p>
    <w:tbl>
      <w:tblPr>
        <w:tblStyle w:val="32"/>
        <w:tblW w:w="9377"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440"/>
        <w:gridCol w:w="3963"/>
        <w:gridCol w:w="1671"/>
        <w:gridCol w:w="1151"/>
        <w:gridCol w:w="115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PrEx>
        <w:trPr>
          <w:trHeight w:val="479" w:hRule="atLeast"/>
          <w:tblHeader/>
          <w:jc w:val="center"/>
        </w:trPr>
        <w:tc>
          <w:tcPr>
            <w:tcW w:w="1440"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pacing w:val="18"/>
                <w:sz w:val="24"/>
                <w:szCs w:val="24"/>
              </w:rPr>
              <w:t>检测项目</w:t>
            </w: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pacing w:val="7"/>
                <w:sz w:val="24"/>
                <w:szCs w:val="24"/>
              </w:rPr>
              <w:t>检测子项</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b w:val="0"/>
                <w:bCs/>
                <w:color w:val="auto"/>
                <w:spacing w:val="9"/>
                <w:sz w:val="24"/>
                <w:szCs w:val="24"/>
                <w:lang w:val="en-US" w:eastAsia="zh-CN"/>
              </w:rPr>
            </w:pPr>
            <w:r>
              <w:rPr>
                <w:rFonts w:hint="default" w:ascii="Times New Roman" w:hAnsi="Times New Roman" w:eastAsia="仿宋_GB2312" w:cs="Times New Roman"/>
                <w:b w:val="0"/>
                <w:bCs/>
                <w:color w:val="auto"/>
                <w:spacing w:val="9"/>
                <w:sz w:val="24"/>
                <w:szCs w:val="24"/>
                <w:lang w:val="en-US" w:eastAsia="zh-CN"/>
              </w:rPr>
              <w:t>检测方法</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pacing w:val="9"/>
                <w:sz w:val="24"/>
                <w:szCs w:val="24"/>
              </w:rPr>
              <w:t>验收检测</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b w:val="0"/>
                <w:bCs/>
                <w:color w:val="auto"/>
                <w:sz w:val="24"/>
                <w:szCs w:val="24"/>
              </w:rPr>
            </w:pPr>
            <w:r>
              <w:rPr>
                <w:rFonts w:hint="default" w:ascii="Times New Roman" w:hAnsi="Times New Roman" w:eastAsia="仿宋_GB2312" w:cs="Times New Roman"/>
                <w:b w:val="0"/>
                <w:bCs/>
                <w:color w:val="auto"/>
                <w:spacing w:val="9"/>
                <w:sz w:val="24"/>
                <w:szCs w:val="24"/>
              </w:rPr>
              <w:t>定期检测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PrEx>
        <w:trPr>
          <w:trHeight w:val="440" w:hRule="atLeast"/>
          <w:jc w:val="center"/>
        </w:trPr>
        <w:tc>
          <w:tcPr>
            <w:tcW w:w="1440" w:type="dxa"/>
            <w:vMerge w:val="restart"/>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接闪器</w:t>
            </w: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类型和方式</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zh-CN"/>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敷设和位置</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材料和规格</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zh-CN"/>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安装工艺和现状</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锈蚀</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固定支架的垂直拉力</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固定支架的间距和高度</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网格尺寸</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伸缩缝处的跨接</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等电位连接性能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附着</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间隔距离</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防侧击措施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保护范围</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restart"/>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引下线</w:t>
            </w: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类型</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敷设</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材料和规格</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安装工艺和现状</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锈蚀</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固定支架的垂直拉力</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固定支架的间距</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断接卡设置和保护措施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防接触电压和旁侧闪络电压措施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附着</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间隔距离</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电气连接性能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71"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数量和间距</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restart"/>
            <w:tcBorders>
              <w:tl2br w:val="nil"/>
              <w:tr2bl w:val="nil"/>
            </w:tcBorders>
            <w:vAlign w:val="center"/>
          </w:tcPr>
          <w:p>
            <w:pPr>
              <w:jc w:val="center"/>
              <w:rPr>
                <w:rFonts w:hint="default" w:ascii="Times New Roman" w:hAnsi="Times New Roman" w:eastAsia="仿宋_GB2312" w:cs="Times New Roman"/>
                <w:color w:val="auto"/>
                <w:sz w:val="24"/>
                <w:szCs w:val="24"/>
                <w:lang w:val="en-US" w:eastAsia="zh-CN"/>
              </w:rPr>
            </w:pPr>
            <w:r>
              <w:rPr>
                <w:rFonts w:hint="default" w:ascii="Times New Roman" w:hAnsi="Times New Roman" w:cs="Times New Roman"/>
                <w:color w:val="auto"/>
              </w:rPr>
              <w:br w:type="page"/>
            </w:r>
            <w:r>
              <w:rPr>
                <w:rFonts w:hint="default" w:ascii="Times New Roman" w:hAnsi="Times New Roman" w:eastAsia="仿宋_GB2312" w:cs="Times New Roman"/>
                <w:color w:val="auto"/>
                <w:sz w:val="24"/>
                <w:szCs w:val="24"/>
                <w:lang w:val="en-US" w:eastAsia="zh-CN"/>
              </w:rPr>
              <w:t>接地装置</w:t>
            </w: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类型</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布置</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材料和规格</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焊接和防腐</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防跨步电压措施</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eastAsia" w:ascii="Times New Roman" w:hAnsi="Times New Roman" w:eastAsia="仿宋_GB2312" w:cs="Times New Roman"/>
                <w:color w:val="auto"/>
                <w:sz w:val="24"/>
                <w:szCs w:val="24"/>
                <w:lang w:val="en-US" w:eastAsia="zh-CN"/>
              </w:rPr>
              <w:t>填</w:t>
            </w:r>
            <w:r>
              <w:rPr>
                <w:rFonts w:hint="default" w:ascii="Times New Roman" w:hAnsi="Times New Roman" w:eastAsia="仿宋_GB2312" w:cs="Times New Roman"/>
                <w:color w:val="auto"/>
                <w:sz w:val="24"/>
                <w:szCs w:val="24"/>
                <w:lang w:val="en-US" w:eastAsia="zh-CN"/>
              </w:rPr>
              <w:t>土</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间隔距离</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共用接地</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电气贯通性能</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sz w:val="24"/>
                <w:szCs w:val="24"/>
                <w:lang w:val="en-US" w:eastAsia="zh-CN"/>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cs="Times New Roman"/>
                <w:color w:val="auto"/>
                <w:sz w:val="24"/>
                <w:szCs w:val="24"/>
                <w:lang w:val="en-US" w:eastAsia="zh-CN"/>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cs="Times New Roman"/>
                <w:color w:val="auto"/>
                <w:sz w:val="24"/>
                <w:szCs w:val="24"/>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接地电阻</w:t>
            </w:r>
          </w:p>
        </w:tc>
        <w:tc>
          <w:tcPr>
            <w:tcW w:w="167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shd w:val="clear" w:color="auto" w:fill="auto"/>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en-US"/>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restart"/>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pacing w:val="4"/>
                <w:sz w:val="24"/>
                <w:szCs w:val="24"/>
                <w:lang w:val="en-US" w:eastAsia="zh-CN"/>
              </w:rPr>
              <w:t>磁屏蔽</w:t>
            </w: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位置</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等电位和电气连接性能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电气贯通连接性能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eastAsia="zh-CN"/>
              </w:rPr>
            </w:pPr>
            <w:r>
              <w:rPr>
                <w:rFonts w:hint="default" w:ascii="Times New Roman" w:hAnsi="Times New Roman" w:eastAsia="仿宋_GB2312" w:cs="Times New Roman"/>
                <w:color w:val="auto"/>
                <w:position w:val="1"/>
                <w:sz w:val="24"/>
                <w:szCs w:val="24"/>
                <w:lang w:val="en-US" w:eastAsia="zh-CN"/>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eastAsia="zh-CN"/>
              </w:rPr>
            </w:pPr>
            <w:r>
              <w:rPr>
                <w:rFonts w:hint="default" w:ascii="Times New Roman" w:hAnsi="Times New Roman" w:eastAsia="仿宋_GB2312" w:cs="Times New Roman"/>
                <w:color w:val="auto"/>
                <w:position w:val="1"/>
                <w:sz w:val="24"/>
                <w:szCs w:val="24"/>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屏蔽效果</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lang w:val="en-US" w:eastAsia="zh-CN"/>
              </w:rPr>
            </w:pPr>
            <w:r>
              <w:rPr>
                <w:rFonts w:hint="default" w:ascii="Times New Roman" w:hAnsi="Times New Roman" w:eastAsia="仿宋_GB2312" w:cs="Times New Roman"/>
                <w:color w:val="auto"/>
                <w:position w:val="1"/>
                <w:sz w:val="24"/>
                <w:szCs w:val="24"/>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防雷等电位连接</w:t>
            </w: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位置</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结构</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材料和规格</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连接工艺</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跨接性能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等电位连接性能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接地基准点</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ERP</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接地性能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电涌保护器</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SPD</w:t>
            </w:r>
            <w:r>
              <w:rPr>
                <w:rFonts w:hint="eastAsia" w:eastAsia="仿宋_GB2312" w:cs="Times New Roman"/>
                <w:color w:val="auto"/>
                <w:sz w:val="24"/>
                <w:szCs w:val="24"/>
                <w:lang w:val="en-US" w:eastAsia="zh-CN"/>
              </w:rPr>
              <w:t>)</w:t>
            </w: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布置</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主要性能参数</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连接导体的材料和规格</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连接工艺</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外观</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防护级数和级间配合</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仿宋_GB2312" w:cs="Times New Roman"/>
                <w:color w:val="auto"/>
                <w:sz w:val="24"/>
                <w:szCs w:val="24"/>
                <w:lang w:val="en-US" w:eastAsia="zh-CN"/>
              </w:rPr>
              <w:t>外部脱离器</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过电流保护</w:t>
            </w:r>
            <w:r>
              <w:rPr>
                <w:rFonts w:hint="eastAsia" w:ascii="Times New Roman" w:hAnsi="Times New Roman" w:eastAsia="仿宋_GB2312" w:cs="Times New Roman"/>
                <w:color w:val="auto"/>
                <w:sz w:val="24"/>
                <w:szCs w:val="24"/>
                <w:lang w:val="en-US" w:eastAsia="zh-CN"/>
              </w:rPr>
              <w:t>）</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观察检查</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电气连接性能</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压敏电压</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V</w:t>
            </w:r>
            <w:r>
              <w:rPr>
                <w:rFonts w:hint="default" w:ascii="Times New Roman" w:hAnsi="Times New Roman" w:eastAsia="仿宋_GB2312" w:cs="Times New Roman"/>
                <w:color w:val="auto"/>
                <w:sz w:val="24"/>
                <w:szCs w:val="24"/>
                <w:vertAlign w:val="subscript"/>
                <w:lang w:val="en-US" w:eastAsia="zh-CN"/>
              </w:rPr>
              <w:t>v</w:t>
            </w:r>
            <w:r>
              <w:rPr>
                <w:rFonts w:hint="eastAsia" w:ascii="Times New Roman" w:hAnsi="Times New Roman" w:eastAsia="仿宋_GB2312" w:cs="Times New Roman"/>
                <w:color w:val="auto"/>
                <w:sz w:val="24"/>
                <w:szCs w:val="24"/>
                <w:vertAlign w:val="subscript"/>
                <w:lang w:val="en-US" w:eastAsia="zh-CN"/>
              </w:rPr>
              <w:t>）</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泄漏电流</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I</w:t>
            </w:r>
            <w:r>
              <w:rPr>
                <w:rFonts w:hint="default" w:ascii="Times New Roman" w:hAnsi="Times New Roman" w:eastAsia="仿宋_GB2312" w:cs="Times New Roman"/>
                <w:color w:val="auto"/>
                <w:sz w:val="24"/>
                <w:szCs w:val="24"/>
                <w:vertAlign w:val="subscript"/>
                <w:lang w:val="en-US" w:eastAsia="zh-CN"/>
              </w:rPr>
              <w:t>ie</w:t>
            </w:r>
            <w:r>
              <w:rPr>
                <w:rFonts w:hint="eastAsia" w:ascii="Times New Roman" w:hAnsi="Times New Roman" w:eastAsia="仿宋_GB2312" w:cs="Times New Roman"/>
                <w:color w:val="auto"/>
                <w:sz w:val="24"/>
                <w:szCs w:val="24"/>
                <w:vertAlign w:val="subscript"/>
                <w:lang w:val="en-US" w:eastAsia="zh-CN"/>
              </w:rPr>
              <w:t>）</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388" w:hRule="atLeast"/>
          <w:jc w:val="center"/>
        </w:trPr>
        <w:tc>
          <w:tcPr>
            <w:tcW w:w="1440"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sz w:val="24"/>
                <w:szCs w:val="24"/>
              </w:rPr>
            </w:pPr>
          </w:p>
        </w:tc>
        <w:tc>
          <w:tcPr>
            <w:tcW w:w="3963" w:type="dxa"/>
            <w:tcBorders>
              <w:tl2br w:val="nil"/>
              <w:tr2bl w:val="nil"/>
            </w:tcBorders>
            <w:shd w:val="clear" w:color="auto" w:fill="auto"/>
            <w:vAlign w:val="top"/>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lang w:val="en-US" w:eastAsia="en-US"/>
              </w:rPr>
            </w:pPr>
            <w:r>
              <w:rPr>
                <w:rFonts w:hint="default" w:ascii="Times New Roman" w:hAnsi="Times New Roman" w:eastAsia="仿宋_GB2312" w:cs="Times New Roman"/>
                <w:color w:val="auto"/>
                <w:sz w:val="24"/>
                <w:szCs w:val="24"/>
                <w:lang w:val="en-US" w:eastAsia="zh-CN"/>
              </w:rPr>
              <w:t>绝缘电阻</w:t>
            </w:r>
            <w:r>
              <w:rPr>
                <w:rFonts w:hint="eastAsia"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eastAsia="zh-CN"/>
              </w:rPr>
              <w:t>R</w:t>
            </w:r>
            <w:r>
              <w:rPr>
                <w:rFonts w:hint="default" w:ascii="Times New Roman" w:hAnsi="Times New Roman" w:eastAsia="仿宋_GB2312" w:cs="Times New Roman"/>
                <w:color w:val="auto"/>
                <w:sz w:val="24"/>
                <w:szCs w:val="24"/>
                <w:vertAlign w:val="subscript"/>
                <w:lang w:val="en-US" w:eastAsia="zh-CN"/>
              </w:rPr>
              <w:t>i</w:t>
            </w:r>
            <w:r>
              <w:rPr>
                <w:rFonts w:hint="eastAsia" w:ascii="Times New Roman" w:hAnsi="Times New Roman" w:eastAsia="仿宋_GB2312" w:cs="Times New Roman"/>
                <w:color w:val="auto"/>
                <w:sz w:val="24"/>
                <w:szCs w:val="24"/>
                <w:vertAlign w:val="subscript"/>
                <w:lang w:val="en-US" w:eastAsia="zh-CN"/>
              </w:rPr>
              <w:t>）</w:t>
            </w:r>
          </w:p>
        </w:tc>
        <w:tc>
          <w:tcPr>
            <w:tcW w:w="167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cs="Times New Roman"/>
                <w:color w:val="auto"/>
                <w:position w:val="1"/>
                <w:sz w:val="24"/>
                <w:szCs w:val="24"/>
              </w:rPr>
            </w:pPr>
            <w:r>
              <w:rPr>
                <w:rFonts w:hint="default" w:ascii="Times New Roman" w:hAnsi="Times New Roman" w:eastAsia="仿宋_GB2312" w:cs="Times New Roman"/>
                <w:color w:val="auto"/>
                <w:position w:val="1"/>
                <w:sz w:val="24"/>
                <w:szCs w:val="24"/>
                <w:lang w:val="en-US" w:eastAsia="zh-CN"/>
              </w:rPr>
              <w:t>检查测量</w:t>
            </w:r>
          </w:p>
        </w:tc>
        <w:tc>
          <w:tcPr>
            <w:tcW w:w="1151"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c>
          <w:tcPr>
            <w:tcW w:w="1152" w:type="dxa"/>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Times New Roman" w:hAnsi="Times New Roman" w:eastAsia="仿宋_GB2312" w:cs="Times New Roman"/>
                <w:color w:val="auto"/>
                <w:position w:val="1"/>
                <w:sz w:val="24"/>
                <w:szCs w:val="24"/>
              </w:rPr>
            </w:pPr>
            <w:r>
              <w:rPr>
                <w:rFonts w:hint="default" w:ascii="Times New Roman" w:hAnsi="Times New Roman" w:eastAsia="仿宋_GB2312" w:cs="Times New Roman"/>
                <w:color w:val="auto"/>
                <w:position w:val="1"/>
                <w:sz w:val="24"/>
                <w:szCs w:val="24"/>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jc w:val="center"/>
        </w:trPr>
        <w:tc>
          <w:tcPr>
            <w:tcW w:w="9377" w:type="dxa"/>
            <w:gridSpan w:val="5"/>
            <w:tcBorders>
              <w:tl2br w:val="nil"/>
              <w:tr2bl w:val="nil"/>
            </w:tcBorders>
            <w:vAlign w:val="center"/>
          </w:tcPr>
          <w:p>
            <w:pPr>
              <w:pStyle w:val="31"/>
              <w:keepNext w:val="0"/>
              <w:keepLines w:val="0"/>
              <w:pageBreakBefore w:val="0"/>
              <w:widowControl/>
              <w:kinsoku w:val="0"/>
              <w:wordWrap/>
              <w:overflowPunct/>
              <w:topLinePunct w:val="0"/>
              <w:autoSpaceDE w:val="0"/>
              <w:autoSpaceDN w:val="0"/>
              <w:bidi w:val="0"/>
              <w:adjustRightInd w:val="0"/>
              <w:snapToGrid w:val="0"/>
              <w:spacing w:line="400" w:lineRule="exact"/>
              <w:ind w:left="0" w:leftChars="0"/>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●必检项；○现场具备检测条件的情况下必检；+非强制性的，可附加选用</w:t>
            </w:r>
          </w:p>
        </w:tc>
      </w:tr>
    </w:tbl>
    <w:p>
      <w:pPr>
        <w:pStyle w:val="5"/>
        <w:rPr>
          <w:rFonts w:hint="default" w:ascii="Times New Roman" w:hAnsi="Times New Roman" w:eastAsia="仿宋_GB2312" w:cs="Times New Roman"/>
          <w:color w:val="auto"/>
          <w:kern w:val="2"/>
          <w:sz w:val="32"/>
          <w:szCs w:val="32"/>
          <w:lang w:val="en-US" w:eastAsia="zh-CN" w:bidi="ar-SA"/>
        </w:rPr>
        <w:sectPr>
          <w:pgSz w:w="11906" w:h="16838"/>
          <w:pgMar w:top="1440" w:right="1406" w:bottom="1440" w:left="1406" w:header="851" w:footer="992" w:gutter="0"/>
          <w:pgBorders>
            <w:top w:val="none" w:color="auto" w:sz="0" w:space="0"/>
            <w:left w:val="none" w:color="auto" w:sz="0" w:space="0"/>
            <w:bottom w:val="none" w:color="auto" w:sz="0" w:space="0"/>
            <w:right w:val="none" w:color="auto" w:sz="0" w:space="0"/>
          </w:pgBorders>
          <w:pgNumType w:fmt="decimal"/>
          <w:cols w:space="720" w:num="1"/>
          <w:titlePg/>
          <w:docGrid w:type="lines" w:linePitch="312" w:charSpace="0"/>
        </w:sectPr>
      </w:pPr>
    </w:p>
    <w:p>
      <w:pPr>
        <w:pStyle w:val="2"/>
        <w:keepNext/>
        <w:keepLines/>
        <w:pageBreakBefore w:val="0"/>
        <w:widowControl w:val="0"/>
        <w:kinsoku/>
        <w:wordWrap/>
        <w:overflowPunct/>
        <w:topLinePunct w:val="0"/>
        <w:autoSpaceDE/>
        <w:autoSpaceDN/>
        <w:bidi w:val="0"/>
        <w:adjustRightInd/>
        <w:snapToGrid/>
        <w:spacing w:before="0" w:after="0" w:line="579" w:lineRule="auto"/>
        <w:textAlignment w:val="auto"/>
        <w:rPr>
          <w:rFonts w:hint="default" w:ascii="Times New Roman" w:hAnsi="Times New Roman" w:eastAsia="黑体" w:cs="Times New Roman"/>
          <w:color w:val="auto"/>
          <w:sz w:val="32"/>
          <w:szCs w:val="32"/>
          <w:lang w:val="en-US" w:eastAsia="zh-CN"/>
        </w:rPr>
      </w:pPr>
      <w:bookmarkStart w:id="185" w:name="_Toc24835"/>
      <w:bookmarkStart w:id="186" w:name="_Toc7450"/>
      <w:bookmarkStart w:id="187" w:name="_Toc26121"/>
      <w:r>
        <w:rPr>
          <w:rFonts w:hint="default" w:ascii="Times New Roman" w:hAnsi="Times New Roman" w:eastAsia="黑体" w:cs="Times New Roman"/>
          <w:color w:val="auto"/>
          <w:sz w:val="32"/>
          <w:szCs w:val="32"/>
          <w:lang w:val="en-US" w:eastAsia="zh-CN"/>
        </w:rPr>
        <mc:AlternateContent>
          <mc:Choice Requires="wps">
            <w:drawing>
              <wp:anchor distT="0" distB="0" distL="114300" distR="114300" simplePos="0" relativeHeight="251664384" behindDoc="0" locked="0" layoutInCell="1" allowOverlap="1">
                <wp:simplePos x="0" y="0"/>
                <wp:positionH relativeFrom="column">
                  <wp:posOffset>4343400</wp:posOffset>
                </wp:positionH>
                <wp:positionV relativeFrom="paragraph">
                  <wp:posOffset>209550</wp:posOffset>
                </wp:positionV>
                <wp:extent cx="7620" cy="5987415"/>
                <wp:effectExtent l="9525" t="0" r="20955" b="22860"/>
                <wp:wrapNone/>
                <wp:docPr id="53" name="直接连接符 53"/>
                <wp:cNvGraphicFramePr/>
                <a:graphic xmlns:a="http://schemas.openxmlformats.org/drawingml/2006/main">
                  <a:graphicData uri="http://schemas.microsoft.com/office/word/2010/wordprocessingShape">
                    <wps:wsp>
                      <wps:cNvCnPr/>
                      <wps:spPr>
                        <a:xfrm>
                          <a:off x="0" y="0"/>
                          <a:ext cx="7620" cy="5987415"/>
                        </a:xfrm>
                        <a:prstGeom prst="line">
                          <a:avLst/>
                        </a:prstGeom>
                        <a:ln w="19050" cap="rnd" cmpd="sng">
                          <a:solidFill>
                            <a:srgbClr val="FF0000"/>
                          </a:solidFill>
                          <a:prstDash val="sysDot"/>
                          <a:headEnd type="none" w="med" len="med"/>
                          <a:tailEnd type="none" w="med" len="med"/>
                        </a:ln>
                      </wps:spPr>
                      <wps:bodyPr upright="1"/>
                    </wps:wsp>
                  </a:graphicData>
                </a:graphic>
              </wp:anchor>
            </w:drawing>
          </mc:Choice>
          <mc:Fallback>
            <w:pict>
              <v:line id="_x0000_s1026" o:spid="_x0000_s1026" o:spt="20" style="position:absolute;left:0pt;margin-left:342pt;margin-top:16.5pt;height:471.45pt;width:0.6pt;z-index:251664384;mso-width-relative:page;mso-height-relative:page;" filled="f" stroked="t" coordsize="21600,21600" o:gfxdata="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HHyA7aAAAA&#10;CgEAAA8AAAAAAAAAAQAgAAAAIgAAAGRycy9kb3ducmV2LnhtbFBLAQIUABQAAAAIAIdO4kCMfilK&#10;4gEAAJwDAAAOAAAAAAAAAAEAIAAAACkBAABkcnMvZTJvRG9jLnhtbFBLBQYAAAAABgAGAFkBAAB9&#10;BQAAAAA=&#10;">
                <v:fill on="f" focussize="0,0"/>
                <v:stroke weight="1.5pt" color="#FF0000" joinstyle="round" dashstyle="1 1" endcap="round"/>
                <v:imagedata o:title=""/>
                <o:lock v:ext="edit" aspectratio="f"/>
              </v:line>
            </w:pict>
          </mc:Fallback>
        </mc:AlternateContent>
      </w:r>
      <w:r>
        <w:rPr>
          <w:rFonts w:hint="default" w:ascii="Times New Roman" w:hAnsi="Times New Roman" w:eastAsia="黑体" w:cs="Times New Roman"/>
          <w:color w:val="auto"/>
          <w:sz w:val="32"/>
          <w:szCs w:val="32"/>
          <w:lang w:val="en-US" w:eastAsia="zh-CN"/>
        </w:rPr>
        <w:t>1</w:t>
      </w:r>
      <w:r>
        <w:rPr>
          <w:rFonts w:hint="eastAsia" w:eastAsia="黑体" w:cs="Times New Roman"/>
          <w:color w:val="auto"/>
          <w:sz w:val="32"/>
          <w:szCs w:val="32"/>
          <w:lang w:val="en-US" w:eastAsia="zh-CN"/>
        </w:rPr>
        <w:t>8</w:t>
      </w:r>
      <w:r>
        <w:rPr>
          <w:rFonts w:hint="default" w:ascii="Times New Roman" w:hAnsi="Times New Roman" w:eastAsia="黑体" w:cs="Times New Roman"/>
          <w:color w:val="auto"/>
          <w:sz w:val="32"/>
          <w:szCs w:val="32"/>
          <w:lang w:val="en-US" w:eastAsia="zh-CN"/>
        </w:rPr>
        <w:t xml:space="preserve"> 整改意见书模板（参考）</w:t>
      </w:r>
      <w:bookmarkEnd w:id="185"/>
      <w:bookmarkEnd w:id="186"/>
      <w:bookmarkEnd w:id="187"/>
    </w:p>
    <w:p>
      <w:pPr>
        <w:ind w:firstLine="1300" w:firstLineChars="650"/>
        <w:rPr>
          <w:rFonts w:hint="default" w:ascii="Times New Roman" w:hAnsi="Times New Roman" w:cs="Times New Roman"/>
          <w:color w:val="auto"/>
        </w:rPr>
      </w:pPr>
      <w:r>
        <w:rPr>
          <w:rFonts w:hint="default" w:ascii="Times New Roman" w:hAnsi="Times New Roman" w:cs="Times New Roman"/>
          <w:color w:val="auto"/>
          <w:sz w:val="20"/>
        </w:rPr>
        <w:pict>
          <v:shape id="AutoShape 2" o:spid="_x0000_s1074" o:spt="136" type="#_x0000_t136" style="position:absolute;left:0pt;margin-left:27pt;margin-top:0pt;height:23.4pt;width:261pt;z-index:251662336;mso-width-relative:page;mso-height-relative:page;" fillcolor="#000000" filled="t" stroked="t" coordsize="21600,21600" adj="10800">
            <v:path/>
            <v:fill on="t" color2="#FFFFFF" focussize="0,0"/>
            <v:stroke color="#FF0000"/>
            <v:imagedata o:title=""/>
            <o:lock v:ext="edit" aspectratio="f"/>
            <v:textpath on="t" fitshape="t" fitpath="t" trim="t" xscale="f" string="不符合项整改意见书" style="font-family:方正大标宋简体;font-size:20pt;v-text-align:center;"/>
            <v:textbox>
              <w:txbxContent>
                <w:p/>
              </w:txbxContent>
            </v:textbox>
          </v:shape>
        </w:pict>
      </w:r>
    </w:p>
    <w:p>
      <w:pPr>
        <w:ind w:firstLine="1560" w:firstLineChars="650"/>
        <w:jc w:val="left"/>
        <w:rPr>
          <w:rFonts w:hint="default" w:ascii="Times New Roman" w:hAnsi="Times New Roman" w:cs="Times New Roman"/>
          <w:color w:val="auto"/>
          <w:sz w:val="24"/>
        </w:rPr>
      </w:pPr>
      <w:r>
        <w:rPr>
          <w:rFonts w:hint="default" w:ascii="Times New Roman" w:hAnsi="Times New Roman" w:cs="Times New Roman"/>
          <w:color w:val="auto"/>
          <w:sz w:val="24"/>
        </w:rPr>
        <w:pict>
          <v:shape id="AutoShape 3" o:spid="_x0000_s1075" o:spt="136" type="#_x0000_t136" style="position:absolute;left:0pt;margin-left:135.45pt;margin-top:200.7pt;height:18pt;width:412.2pt;rotation:5898240f;z-index:251665408;mso-width-relative:page;mso-height-relative:page;" fillcolor="#000000" filled="t" stroked="t" coordsize="21600,21600" adj="10800">
            <v:path/>
            <v:fill on="t" color2="#FFFFFF" focussize="0,0"/>
            <v:stroke color="#FF0000"/>
            <v:imagedata o:title=""/>
            <o:lock v:ext="edit" aspectratio="f"/>
            <v:textpath on="t" fitshape="t" fitpath="t" trim="t" xscale="f" string=" XX雷整字[20XX] XXXX 号存根" style="font-family:华文中宋;font-size:16pt;v-rotate-letters:t;v-text-align:center;"/>
            <v:textbox>
              <w:txbxContent>
                <w:p/>
              </w:txbxContent>
            </v:textbox>
          </v:shape>
        </w:pict>
      </w:r>
    </w:p>
    <w:p>
      <w:pPr>
        <w:ind w:firstLine="1820" w:firstLineChars="65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XX</w:t>
      </w:r>
      <w:r>
        <w:rPr>
          <w:rFonts w:hint="default" w:ascii="Times New Roman" w:hAnsi="Times New Roman" w:eastAsia="仿宋_GB2312" w:cs="Times New Roman"/>
          <w:color w:val="auto"/>
          <w:sz w:val="28"/>
          <w:szCs w:val="28"/>
        </w:rPr>
        <w:t>雷整字[</w:t>
      </w:r>
      <w:r>
        <w:rPr>
          <w:rFonts w:hint="default" w:ascii="Times New Roman" w:hAnsi="Times New Roman" w:eastAsia="仿宋_GB2312" w:cs="Times New Roman"/>
          <w:color w:val="auto"/>
          <w:sz w:val="28"/>
          <w:szCs w:val="28"/>
          <w:lang w:val="en-US" w:eastAsia="zh-CN"/>
        </w:rPr>
        <w:t>20XX</w:t>
      </w:r>
      <w:r>
        <w:rPr>
          <w:rFonts w:hint="default" w:ascii="Times New Roman" w:hAnsi="Times New Roman" w:eastAsia="仿宋_GB2312" w:cs="Times New Roman"/>
          <w:color w:val="auto"/>
          <w:sz w:val="28"/>
          <w:szCs w:val="28"/>
        </w:rPr>
        <w:t>]</w:t>
      </w:r>
      <w:r>
        <w:rPr>
          <w:rFonts w:hint="default" w:ascii="Times New Roman" w:hAnsi="Times New Roman" w:eastAsia="仿宋_GB2312" w:cs="Times New Roman"/>
          <w:color w:val="auto"/>
          <w:sz w:val="28"/>
          <w:szCs w:val="28"/>
          <w:lang w:val="en-US" w:eastAsia="zh-CN"/>
        </w:rPr>
        <w:t>XXXX</w:t>
      </w:r>
      <w:r>
        <w:rPr>
          <w:rFonts w:hint="default" w:ascii="Times New Roman" w:hAnsi="Times New Roman" w:eastAsia="仿宋_GB2312" w:cs="Times New Roman"/>
          <w:color w:val="auto"/>
          <w:sz w:val="28"/>
          <w:szCs w:val="28"/>
        </w:rPr>
        <w:t>号</w:t>
      </w:r>
    </w:p>
    <w:p>
      <w:pPr>
        <w:spacing w:before="156" w:beforeLines="50" w:line="360" w:lineRule="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u w:val="single"/>
          <w:lang w:val="en-US" w:eastAsia="zh-CN"/>
        </w:rPr>
        <mc:AlternateContent>
          <mc:Choice Requires="wps">
            <w:drawing>
              <wp:anchor distT="0" distB="0" distL="114300" distR="114300" simplePos="0" relativeHeight="251670528" behindDoc="0" locked="0" layoutInCell="1" allowOverlap="1">
                <wp:simplePos x="0" y="0"/>
                <wp:positionH relativeFrom="column">
                  <wp:posOffset>635</wp:posOffset>
                </wp:positionH>
                <wp:positionV relativeFrom="paragraph">
                  <wp:posOffset>15875</wp:posOffset>
                </wp:positionV>
                <wp:extent cx="4107180" cy="2540"/>
                <wp:effectExtent l="0" t="13970" r="7620" b="21590"/>
                <wp:wrapNone/>
                <wp:docPr id="3" name="直接连接符 3"/>
                <wp:cNvGraphicFramePr/>
                <a:graphic xmlns:a="http://schemas.openxmlformats.org/drawingml/2006/main">
                  <a:graphicData uri="http://schemas.microsoft.com/office/word/2010/wordprocessingShape">
                    <wps:wsp>
                      <wps:cNvCnPr/>
                      <wps:spPr>
                        <a:xfrm>
                          <a:off x="0" y="0"/>
                          <a:ext cx="4107180" cy="254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1.25pt;height:0.2pt;width:323.4pt;z-index:251670528;mso-width-relative:page;mso-height-relative:page;" filled="f" stroked="t" coordsize="21600,21600" o:gfxdata="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kzyrdMAAAAEAQAADwAA&#10;AAAAAAABACAAAAAiAAAAZHJzL2Rvd25yZXYueG1sUEsBAhQAFAAAAAgAh07iQHS5H6niAQAAmgMA&#10;AA4AAAAAAAAAAQAgAAAAIgEAAGRycy9lMm9Eb2MueG1sUEsFBgAAAAAGAAYAWQEAAHYFAAAAAA==&#10;">
                <v:fill on="f" focussize="0,0"/>
                <v:stroke weight="2.25pt" color="#FF0000" joinstyle="round"/>
                <v:imagedata o:title=""/>
                <o:lock v:ext="edit" aspectratio="f"/>
              </v:line>
            </w:pict>
          </mc:Fallback>
        </mc:AlternateContent>
      </w:r>
      <w:r>
        <w:rPr>
          <w:rFonts w:hint="default" w:ascii="Times New Roman" w:hAnsi="Times New Roman" w:eastAsia="仿宋_GB2312" w:cs="Times New Roman"/>
          <w:color w:val="auto"/>
          <w:sz w:val="24"/>
          <w:u w:val="single"/>
          <w:lang w:val="en-US" w:eastAsia="zh-CN"/>
        </w:rPr>
        <w:t>XXXXXX</w:t>
      </w:r>
      <w:r>
        <w:rPr>
          <w:rFonts w:hint="default" w:ascii="Times New Roman" w:hAnsi="Times New Roman" w:eastAsia="仿宋_GB2312" w:cs="Times New Roman"/>
          <w:color w:val="auto"/>
          <w:sz w:val="24"/>
          <w:u w:val="single"/>
          <w:lang w:eastAsia="zh-CN"/>
        </w:rPr>
        <w:t>有限</w:t>
      </w:r>
      <w:r>
        <w:rPr>
          <w:rFonts w:hint="default" w:ascii="Times New Roman" w:hAnsi="Times New Roman" w:eastAsia="仿宋_GB2312" w:cs="Times New Roman"/>
          <w:color w:val="auto"/>
          <w:sz w:val="24"/>
          <w:u w:val="single"/>
        </w:rPr>
        <w:t>公司</w:t>
      </w:r>
      <w:r>
        <w:rPr>
          <w:rFonts w:hint="default" w:ascii="Times New Roman" w:hAnsi="Times New Roman" w:eastAsia="仿宋_GB2312"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你单位的</w:t>
      </w:r>
      <w:r>
        <w:rPr>
          <w:rFonts w:hint="default" w:ascii="Times New Roman" w:hAnsi="Times New Roman" w:eastAsia="仿宋_GB2312" w:cs="Times New Roman"/>
          <w:color w:val="auto"/>
          <w:sz w:val="24"/>
          <w:szCs w:val="24"/>
          <w:u w:val="single"/>
          <w:lang w:val="en-US" w:eastAsia="zh-CN"/>
        </w:rPr>
        <w:t>XXXXXX</w:t>
      </w:r>
      <w:r>
        <w:rPr>
          <w:rFonts w:hint="default" w:ascii="Times New Roman" w:hAnsi="Times New Roman" w:eastAsia="仿宋_GB2312" w:cs="Times New Roman"/>
          <w:color w:val="auto"/>
          <w:sz w:val="24"/>
          <w:szCs w:val="24"/>
          <w:u w:val="none"/>
          <w:lang w:val="en-US" w:eastAsia="zh-CN"/>
        </w:rPr>
        <w:t>雷电防护装置</w:t>
      </w:r>
      <w:r>
        <w:rPr>
          <w:rFonts w:hint="default" w:ascii="Times New Roman" w:hAnsi="Times New Roman" w:eastAsia="仿宋_GB2312" w:cs="Times New Roman"/>
          <w:color w:val="auto"/>
          <w:sz w:val="24"/>
          <w:szCs w:val="24"/>
          <w:lang w:val="zh-CN"/>
        </w:rPr>
        <w:t>，经现场检测，不符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合国家现行技术标准</w:t>
      </w:r>
      <w:r>
        <w:rPr>
          <w:rFonts w:hint="default" w:ascii="Times New Roman" w:hAnsi="Times New Roman" w:eastAsia="仿宋_GB2312" w:cs="Times New Roman"/>
          <w:color w:val="auto"/>
          <w:sz w:val="24"/>
          <w:szCs w:val="24"/>
          <w:lang w:val="en-US" w:eastAsia="zh-CN"/>
        </w:rPr>
        <w:t>要求</w:t>
      </w:r>
      <w:r>
        <w:rPr>
          <w:rFonts w:hint="default" w:ascii="Times New Roman" w:hAnsi="Times New Roman" w:eastAsia="仿宋_GB2312" w:cs="Times New Roman"/>
          <w:color w:val="auto"/>
          <w:sz w:val="24"/>
          <w:szCs w:val="24"/>
          <w:lang w:val="zh-CN"/>
        </w:rPr>
        <w:t>，请根据以下整改意见尽快组织整</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改，整改完成后</w:t>
      </w:r>
      <w:r>
        <w:rPr>
          <w:rFonts w:hint="default" w:ascii="Times New Roman" w:hAnsi="Times New Roman" w:eastAsia="仿宋_GB2312" w:cs="Times New Roman"/>
          <w:color w:val="auto"/>
          <w:sz w:val="24"/>
          <w:szCs w:val="24"/>
          <w:lang w:val="en-US" w:eastAsia="zh-CN"/>
        </w:rPr>
        <w:t>联系</w:t>
      </w:r>
      <w:r>
        <w:rPr>
          <w:rFonts w:hint="default" w:ascii="Times New Roman" w:hAnsi="Times New Roman" w:eastAsia="仿宋_GB2312" w:cs="Times New Roman"/>
          <w:color w:val="auto"/>
          <w:sz w:val="24"/>
          <w:szCs w:val="24"/>
          <w:lang w:val="zh-CN"/>
        </w:rPr>
        <w:t>复检。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zh-CN"/>
        </w:rPr>
        <w:t>整改意见如下：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pStyle w:val="5"/>
        <w:rPr>
          <w:rFonts w:hint="default" w:ascii="Times New Roman" w:hAnsi="Times New Roman" w:eastAsia="宋体" w:cs="Times New Roman"/>
          <w:color w:val="auto"/>
          <w:sz w:val="24"/>
          <w:szCs w:val="24"/>
          <w:lang w:val="en-US" w:eastAsia="zh-CN"/>
        </w:rPr>
      </w:pPr>
    </w:p>
    <w:p>
      <w:pPr>
        <w:pStyle w:val="5"/>
        <w:rPr>
          <w:rFonts w:hint="default" w:ascii="Times New Roman" w:hAnsi="Times New Roman" w:cs="Times New Roman"/>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pStyle w:val="5"/>
        <w:rPr>
          <w:rFonts w:hint="default" w:ascii="Times New Roman" w:hAnsi="Times New Roman" w:cs="Times New Roman"/>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outlineLvl w:val="9"/>
        <w:rPr>
          <w:rFonts w:hint="default" w:ascii="Times New Roman" w:hAnsi="Times New Roman" w:eastAsia="宋体" w:cs="Times New Roman"/>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outlineLvl w:val="9"/>
        <w:rPr>
          <w:rFonts w:hint="default" w:ascii="Times New Roman" w:hAnsi="Times New Roman" w:eastAsia="宋体" w:cs="Times New Roman"/>
          <w:color w:val="auto"/>
          <w:sz w:val="24"/>
          <w:lang w:val="zh-CN" w:eastAsia="zh-CN"/>
        </w:rPr>
      </w:pPr>
      <w:r>
        <w:rPr>
          <w:rFonts w:hint="default" w:ascii="Times New Roman" w:hAnsi="Times New Roman" w:eastAsia="宋体" w:cs="Times New Roman"/>
          <w:color w:val="auto"/>
          <w:sz w:val="24"/>
          <w:lang w:val="zh-CN"/>
        </w:rPr>
        <w:t>受检单位主管人</w:t>
      </w:r>
      <w:r>
        <w:rPr>
          <w:rFonts w:hint="eastAsia" w:ascii="Times New Roman" w:hAnsi="Times New Roman" w:eastAsia="宋体" w:cs="Times New Roman"/>
          <w:color w:val="auto"/>
          <w:sz w:val="24"/>
          <w:lang w:val="zh-CN"/>
        </w:rPr>
        <w:t>（</w:t>
      </w:r>
      <w:r>
        <w:rPr>
          <w:rFonts w:hint="eastAsia" w:ascii="Times New Roman" w:hAnsi="Times New Roman" w:eastAsia="宋体" w:cs="Times New Roman"/>
          <w:color w:val="auto"/>
          <w:sz w:val="24"/>
          <w:lang w:val="en-US" w:eastAsia="zh-CN"/>
        </w:rPr>
        <w:t>签章</w:t>
      </w:r>
      <w:r>
        <w:rPr>
          <w:rFonts w:hint="eastAsia" w:ascii="Times New Roman" w:hAnsi="Times New Roman" w:eastAsia="宋体" w:cs="Times New Roman"/>
          <w:color w:val="auto"/>
          <w:sz w:val="24"/>
          <w:lang w:val="zh-CN"/>
        </w:rPr>
        <w:t>）</w:t>
      </w:r>
      <w:r>
        <w:rPr>
          <w:rFonts w:hint="default" w:ascii="Times New Roman" w:hAnsi="Times New Roman" w:eastAsia="宋体" w:cs="Times New Roman"/>
          <w:color w:val="auto"/>
          <w:sz w:val="24"/>
          <w:lang w:val="zh-CN" w:eastAsia="zh-CN"/>
        </w:rPr>
        <w:t>：</w:t>
      </w:r>
    </w:p>
    <w:p>
      <w:pPr>
        <w:keepNext w:val="0"/>
        <w:keepLines w:val="0"/>
        <w:pageBreakBefore w:val="0"/>
        <w:widowControl w:val="0"/>
        <w:kinsoku/>
        <w:wordWrap/>
        <w:overflowPunct/>
        <w:topLinePunct w:val="0"/>
        <w:autoSpaceDE/>
        <w:autoSpaceDN/>
        <w:bidi w:val="0"/>
        <w:adjustRightInd/>
        <w:snapToGrid/>
        <w:spacing w:line="380" w:lineRule="exact"/>
        <w:ind w:firstLine="3960" w:firstLineChars="9900"/>
        <w:textAlignment w:val="auto"/>
        <w:outlineLvl w:val="9"/>
        <w:rPr>
          <w:rFonts w:hint="default" w:ascii="Times New Roman" w:hAnsi="Times New Roman" w:eastAsia="宋体" w:cs="Times New Roman"/>
          <w:color w:val="auto"/>
          <w:sz w:val="24"/>
          <w:lang w:val="zh-CN"/>
        </w:rPr>
      </w:pPr>
      <w:r>
        <w:rPr>
          <w:rFonts w:hint="default" w:ascii="Times New Roman" w:hAnsi="Times New Roman" w:eastAsia="宋体" w:cs="Times New Roman"/>
          <w:color w:val="auto"/>
          <w:sz w:val="4"/>
          <w:szCs w:val="4"/>
          <w:lang w:val="en-US" w:eastAsia="zh-CN"/>
        </w:rPr>
        <w:t xml:space="preserve">  </w:t>
      </w:r>
      <w:r>
        <w:rPr>
          <w:rFonts w:hint="default" w:ascii="Times New Roman" w:hAnsi="Times New Roman" w:eastAsia="宋体" w:cs="Times New Roman"/>
          <w:color w:val="auto"/>
          <w:sz w:val="24"/>
          <w:lang w:val="zh-CN"/>
        </w:rPr>
        <w:t>年</w:t>
      </w:r>
      <w:r>
        <w:rPr>
          <w:rFonts w:hint="default"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lang w:val="zh-CN"/>
        </w:rPr>
        <w:t>月</w:t>
      </w:r>
      <w:r>
        <w:rPr>
          <w:rFonts w:hint="default"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lang w:val="zh-CN"/>
        </w:rPr>
        <w:t>日</w:t>
      </w:r>
    </w:p>
    <w:p>
      <w:pPr>
        <w:pStyle w:val="5"/>
        <w:rPr>
          <w:rFonts w:hint="default"/>
          <w:color w:val="auto"/>
          <w:lang w:val="zh-CN"/>
        </w:rPr>
      </w:pPr>
    </w:p>
    <w:p>
      <w:pPr>
        <w:spacing w:line="100" w:lineRule="exact"/>
        <w:rPr>
          <w:rFonts w:hint="default" w:ascii="Times New Roman" w:hAnsi="Times New Roman" w:cs="Times New Roman"/>
          <w:color w:val="auto"/>
          <w:sz w:val="26"/>
        </w:rPr>
      </w:pPr>
      <w:r>
        <w:rPr>
          <w:rFonts w:hint="default" w:ascii="Times New Roman" w:hAnsi="Times New Roman" w:cs="Times New Roman"/>
          <w:color w:val="auto"/>
          <w:sz w:val="26"/>
          <w:u w:val="single"/>
        </w:rPr>
        <mc:AlternateContent>
          <mc:Choice Requires="wps">
            <w:drawing>
              <wp:anchor distT="0" distB="0" distL="114300" distR="114300" simplePos="0" relativeHeight="251666432" behindDoc="0" locked="0" layoutInCell="1" allowOverlap="1">
                <wp:simplePos x="0" y="0"/>
                <wp:positionH relativeFrom="column">
                  <wp:posOffset>-19050</wp:posOffset>
                </wp:positionH>
                <wp:positionV relativeFrom="paragraph">
                  <wp:posOffset>12065</wp:posOffset>
                </wp:positionV>
                <wp:extent cx="4229100" cy="0"/>
                <wp:effectExtent l="0" t="13970" r="0" b="24130"/>
                <wp:wrapNone/>
                <wp:docPr id="55" name="直接连接符 55"/>
                <wp:cNvGraphicFramePr/>
                <a:graphic xmlns:a="http://schemas.openxmlformats.org/drawingml/2006/main">
                  <a:graphicData uri="http://schemas.microsoft.com/office/word/2010/wordprocessingShape">
                    <wps:wsp>
                      <wps:cNvCnPr/>
                      <wps:spPr>
                        <a:xfrm>
                          <a:off x="0" y="0"/>
                          <a:ext cx="422910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pt;margin-top:0.95pt;height:0pt;width:333pt;z-index:251666432;mso-width-relative:page;mso-height-relative:page;" filled="f" stroked="t" coordsize="21600,21600" o:gfxdata="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27f0NNMAAAAGAQAADwAAAAAA&#10;AAABACAAAAAiAAAAZHJzL2Rvd25yZXYueG1sUEsBAhQAFAAAAAgAh07iQJeLiTvfAQAAmQMAAA4A&#10;AAAAAAAAAQAgAAAAIgEAAGRycy9lMm9Eb2MueG1sUEsFBgAAAAAGAAYAWQEAAHMFAAAAAA==&#10;">
                <v:fill on="f" focussize="0,0"/>
                <v:stroke weight="2.25pt" color="#FF0000" joinstyle="round"/>
                <v:imagedata o:title=""/>
                <o:lock v:ext="edit" aspectratio="f"/>
              </v:line>
            </w:pict>
          </mc:Fallback>
        </mc:AlternateContent>
      </w:r>
    </w:p>
    <w:p>
      <w:pPr>
        <w:keepNext w:val="0"/>
        <w:keepLines w:val="0"/>
        <w:pageBreakBefore w:val="0"/>
        <w:widowControl w:val="0"/>
        <w:tabs>
          <w:tab w:val="left" w:pos="3885"/>
        </w:tabs>
        <w:kinsoku/>
        <w:wordWrap/>
        <w:overflowPunct/>
        <w:topLinePunct w:val="0"/>
        <w:autoSpaceDE/>
        <w:autoSpaceDN/>
        <w:bidi w:val="0"/>
        <w:adjustRightInd/>
        <w:snapToGrid/>
        <w:spacing w:before="157" w:beforeLines="50" w:line="300" w:lineRule="exact"/>
        <w:ind w:firstLine="520" w:firstLineChars="200"/>
        <w:textAlignment w:val="auto"/>
        <w:rPr>
          <w:rFonts w:hint="default" w:ascii="Times New Roman" w:hAnsi="Times New Roman" w:cs="Times New Roman"/>
          <w:color w:val="auto"/>
          <w:sz w:val="26"/>
        </w:rPr>
      </w:pPr>
      <w:r>
        <w:rPr>
          <w:rFonts w:hint="default" w:ascii="Times New Roman" w:hAnsi="Times New Roman" w:cs="Times New Roman"/>
          <w:color w:val="auto"/>
          <w:sz w:val="26"/>
        </w:rPr>
        <w:t>地址：</w:t>
      </w:r>
      <w:r>
        <w:rPr>
          <w:rFonts w:hint="default" w:ascii="Times New Roman" w:hAnsi="Times New Roman" w:eastAsia="宋体" w:cs="Times New Roman"/>
          <w:color w:val="auto"/>
          <w:sz w:val="26"/>
          <w:lang w:val="en-US" w:eastAsia="zh-CN"/>
        </w:rPr>
        <w:t>XX</w:t>
      </w:r>
      <w:r>
        <w:rPr>
          <w:rFonts w:hint="default" w:ascii="Times New Roman" w:hAnsi="Times New Roman" w:cs="Times New Roman"/>
          <w:color w:val="auto"/>
          <w:sz w:val="26"/>
        </w:rPr>
        <w:t>市</w:t>
      </w:r>
      <w:r>
        <w:rPr>
          <w:rFonts w:hint="default" w:ascii="Times New Roman" w:hAnsi="Times New Roman" w:eastAsia="宋体" w:cs="Times New Roman"/>
          <w:color w:val="auto"/>
          <w:sz w:val="26"/>
          <w:lang w:val="en-US" w:eastAsia="zh-CN"/>
        </w:rPr>
        <w:t>XX</w:t>
      </w:r>
      <w:r>
        <w:rPr>
          <w:rFonts w:hint="default" w:ascii="Times New Roman" w:hAnsi="Times New Roman" w:cs="Times New Roman"/>
          <w:color w:val="auto"/>
          <w:sz w:val="26"/>
        </w:rPr>
        <w:t>区</w:t>
      </w:r>
      <w:r>
        <w:rPr>
          <w:rFonts w:hint="default" w:ascii="Times New Roman" w:hAnsi="Times New Roman" w:eastAsia="宋体" w:cs="Times New Roman"/>
          <w:color w:val="auto"/>
          <w:sz w:val="26"/>
          <w:lang w:val="en-US" w:eastAsia="zh-CN"/>
        </w:rPr>
        <w:t>XXXX</w:t>
      </w:r>
      <w:r>
        <w:rPr>
          <w:rFonts w:hint="default" w:ascii="Times New Roman" w:hAnsi="Times New Roman" w:cs="Times New Roman"/>
          <w:color w:val="auto"/>
          <w:sz w:val="26"/>
        </w:rPr>
        <w:t>路</w:t>
      </w:r>
      <w:r>
        <w:rPr>
          <w:rFonts w:hint="default" w:ascii="Times New Roman" w:hAnsi="Times New Roman" w:eastAsia="宋体" w:cs="Times New Roman"/>
          <w:color w:val="auto"/>
          <w:sz w:val="26"/>
          <w:lang w:val="en-US" w:eastAsia="zh-CN"/>
        </w:rPr>
        <w:t>XXXX</w:t>
      </w:r>
      <w:r>
        <w:rPr>
          <w:rFonts w:hint="default" w:ascii="Times New Roman" w:hAnsi="Times New Roman" w:cs="Times New Roman"/>
          <w:color w:val="auto"/>
          <w:sz w:val="26"/>
        </w:rPr>
        <w:t>号</w:t>
      </w:r>
    </w:p>
    <w:p>
      <w:pPr>
        <w:keepNext w:val="0"/>
        <w:keepLines w:val="0"/>
        <w:pageBreakBefore w:val="0"/>
        <w:widowControl w:val="0"/>
        <w:kinsoku/>
        <w:wordWrap/>
        <w:overflowPunct/>
        <w:topLinePunct w:val="0"/>
        <w:autoSpaceDE/>
        <w:autoSpaceDN/>
        <w:bidi w:val="0"/>
        <w:adjustRightInd/>
        <w:snapToGrid/>
        <w:spacing w:line="360" w:lineRule="exact"/>
        <w:ind w:firstLine="520" w:firstLineChars="200"/>
        <w:textAlignment w:val="auto"/>
        <w:rPr>
          <w:rFonts w:hint="default" w:ascii="Times New Roman" w:hAnsi="Times New Roman" w:cs="Times New Roman"/>
          <w:color w:val="auto"/>
          <w:sz w:val="26"/>
        </w:rPr>
      </w:pPr>
      <w:r>
        <w:rPr>
          <w:rFonts w:hint="default" w:ascii="Times New Roman" w:hAnsi="Times New Roman" w:cs="Times New Roman"/>
          <w:color w:val="auto"/>
          <w:sz w:val="26"/>
        </w:rPr>
        <w:t>电话：</w:t>
      </w:r>
    </w:p>
    <w:p>
      <w:pPr>
        <w:keepNext w:val="0"/>
        <w:keepLines w:val="0"/>
        <w:pageBreakBefore w:val="0"/>
        <w:widowControl w:val="0"/>
        <w:kinsoku/>
        <w:wordWrap/>
        <w:overflowPunct/>
        <w:topLinePunct w:val="0"/>
        <w:autoSpaceDE/>
        <w:autoSpaceDN/>
        <w:bidi w:val="0"/>
        <w:adjustRightInd/>
        <w:snapToGrid/>
        <w:spacing w:line="360" w:lineRule="exact"/>
        <w:ind w:firstLine="520" w:firstLineChars="200"/>
        <w:textAlignment w:val="auto"/>
        <w:rPr>
          <w:rFonts w:hint="default" w:ascii="Times New Roman" w:hAnsi="Times New Roman" w:cs="Times New Roman"/>
          <w:color w:val="auto"/>
          <w:sz w:val="26"/>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520" w:firstLineChars="200"/>
        <w:textAlignment w:val="auto"/>
        <w:rPr>
          <w:rFonts w:hint="default" w:ascii="Times New Roman" w:hAnsi="Times New Roman" w:cs="Times New Roman"/>
          <w:color w:val="auto"/>
          <w:sz w:val="26"/>
          <w:lang w:val="en-US" w:eastAsia="zh-CN"/>
        </w:rPr>
      </w:pPr>
    </w:p>
    <w:p>
      <w:pPr>
        <w:ind w:right="945" w:rightChars="450"/>
        <w:rPr>
          <w:rFonts w:hint="default" w:ascii="Times New Roman" w:hAnsi="Times New Roman" w:cs="Times New Roman"/>
          <w:color w:val="auto"/>
          <w:sz w:val="24"/>
        </w:rPr>
      </w:pPr>
      <w:r>
        <w:rPr>
          <w:rFonts w:hint="default" w:ascii="Times New Roman" w:hAnsi="Times New Roman" w:cs="Times New Roman"/>
          <w:color w:val="auto"/>
          <w:sz w:val="20"/>
        </w:rPr>
        <w:pict>
          <v:shape id="_x0000_s1079" o:spid="_x0000_s1079" o:spt="136" type="#_x0000_t136" style="position:absolute;left:0pt;margin-left:14.4pt;margin-top:3.25pt;height:23.4pt;width:310.55pt;z-index:251668480;mso-width-relative:page;mso-height-relative:page;" fillcolor="#000000" filled="t" stroked="t" coordsize="21600,21600" adj="10800">
            <v:path/>
            <v:fill on="t" color2="#FFFFFF" focussize="0,0"/>
            <v:stroke color="#FF0000"/>
            <v:imagedata o:title=""/>
            <o:lock v:ext="edit" aspectratio="f"/>
            <v:textpath on="t" fitshape="t" fitpath="t" trim="t" xscale="f" string="不符合项整改意见书" style="font-family:方正大标宋简体;font-size:20pt;v-text-align:center;"/>
            <v:textbox>
              <w:txbxContent>
                <w:p/>
              </w:txbxContent>
            </v:textbox>
          </v:shape>
        </w:pict>
      </w:r>
    </w:p>
    <w:p>
      <w:pPr>
        <w:ind w:right="945" w:rightChars="450"/>
        <w:rPr>
          <w:rFonts w:hint="default" w:ascii="Times New Roman" w:hAnsi="Times New Roman" w:cs="Times New Roman"/>
          <w:color w:val="auto"/>
          <w:sz w:val="24"/>
        </w:rPr>
      </w:pPr>
    </w:p>
    <w:p>
      <w:pPr>
        <w:ind w:firstLine="1820" w:firstLineChars="65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XX雷整字[20XX]XXXX号</w:t>
      </w:r>
    </w:p>
    <w:p>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仿宋_GB2312" w:cs="Times New Roman"/>
          <w:color w:val="auto"/>
          <w:sz w:val="24"/>
          <w:u w:val="single"/>
          <w:lang w:val="en-US" w:eastAsia="zh-CN"/>
        </w:rPr>
      </w:pPr>
      <w:r>
        <w:rPr>
          <w:rFonts w:hint="default" w:ascii="Times New Roman" w:hAnsi="Times New Roman" w:eastAsia="仿宋_GB2312" w:cs="Times New Roman"/>
          <w:color w:val="auto"/>
          <w:sz w:val="24"/>
          <w:u w:val="single"/>
          <w:lang w:val="en-US" w:eastAsia="zh-CN"/>
        </w:rPr>
        <mc:AlternateContent>
          <mc:Choice Requires="wps">
            <w:drawing>
              <wp:anchor distT="0" distB="0" distL="114300" distR="114300" simplePos="0" relativeHeight="251667456" behindDoc="0" locked="0" layoutInCell="1" allowOverlap="1">
                <wp:simplePos x="0" y="0"/>
                <wp:positionH relativeFrom="column">
                  <wp:posOffset>-71755</wp:posOffset>
                </wp:positionH>
                <wp:positionV relativeFrom="paragraph">
                  <wp:posOffset>38100</wp:posOffset>
                </wp:positionV>
                <wp:extent cx="4378325" cy="7620"/>
                <wp:effectExtent l="0" t="13970" r="3175" b="16510"/>
                <wp:wrapNone/>
                <wp:docPr id="57" name="直接连接符 57"/>
                <wp:cNvGraphicFramePr/>
                <a:graphic xmlns:a="http://schemas.openxmlformats.org/drawingml/2006/main">
                  <a:graphicData uri="http://schemas.microsoft.com/office/word/2010/wordprocessingShape">
                    <wps:wsp>
                      <wps:cNvCnPr/>
                      <wps:spPr>
                        <a:xfrm>
                          <a:off x="0" y="0"/>
                          <a:ext cx="4378325" cy="762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65pt;margin-top:3pt;height:0.6pt;width:344.75pt;z-index:251667456;mso-width-relative:page;mso-height-relative:page;" filled="f" stroked="t" coordsize="21600,21600" o:gfxdata="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1uUZ1gAAAAcB&#10;AAAPAAAAAAAAAAEAIAAAACIAAABkcnMvZG93bnJldi54bWxQSwECFAAUAAAACACHTuJAV1jyCeQB&#10;AACcAwAADgAAAAAAAAABACAAAAAlAQAAZHJzL2Uyb0RvYy54bWxQSwUGAAAAAAYABgBZAQAAewUA&#10;AAAA&#10;">
                <v:fill on="f" focussize="0,0"/>
                <v:stroke weight="2.25pt" color="#FF0000" joinstyle="round"/>
                <v:imagedata o:title=""/>
                <o:lock v:ext="edit" aspectratio="f"/>
              </v:line>
            </w:pict>
          </mc:Fallback>
        </mc:AlternateContent>
      </w:r>
      <w:r>
        <w:rPr>
          <w:rFonts w:hint="default" w:ascii="Times New Roman" w:hAnsi="Times New Roman" w:eastAsia="仿宋_GB2312" w:cs="Times New Roman"/>
          <w:color w:val="auto"/>
          <w:sz w:val="24"/>
          <w:u w:val="single"/>
          <w:lang w:val="en-US" w:eastAsia="zh-CN"/>
        </w:rPr>
        <w:t>XXXXXX有限公司：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_GB2312" w:cs="Times New Roman"/>
          <w:color w:val="auto"/>
          <w:sz w:val="24"/>
          <w:u w:val="none"/>
          <w:lang w:val="en-US" w:eastAsia="zh-CN"/>
        </w:rPr>
      </w:pPr>
      <w:r>
        <w:rPr>
          <w:rFonts w:hint="default" w:ascii="Times New Roman" w:hAnsi="Times New Roman" w:eastAsia="仿宋_GB2312" w:cs="Times New Roman"/>
          <w:color w:val="auto"/>
          <w:sz w:val="24"/>
          <w:u w:val="none"/>
          <w:lang w:val="en-US" w:eastAsia="zh-CN"/>
        </w:rPr>
        <w:t>你单位的</w:t>
      </w:r>
      <w:r>
        <w:rPr>
          <w:rFonts w:hint="default" w:ascii="Times New Roman" w:hAnsi="Times New Roman" w:eastAsia="仿宋_GB2312" w:cs="Times New Roman"/>
          <w:color w:val="auto"/>
          <w:sz w:val="24"/>
          <w:u w:val="single"/>
          <w:lang w:val="en-US" w:eastAsia="zh-CN"/>
        </w:rPr>
        <w:t>XXXXXX</w:t>
      </w:r>
      <w:r>
        <w:rPr>
          <w:rFonts w:hint="default" w:ascii="Times New Roman" w:hAnsi="Times New Roman" w:eastAsia="仿宋_GB2312" w:cs="Times New Roman"/>
          <w:color w:val="auto"/>
          <w:sz w:val="24"/>
          <w:u w:val="none"/>
          <w:lang w:val="en-US" w:eastAsia="zh-CN"/>
        </w:rPr>
        <w:t>雷电防护装置，经现场检测，不符合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u w:val="none"/>
          <w:lang w:val="en-US" w:eastAsia="zh-CN"/>
        </w:rPr>
      </w:pPr>
      <w:r>
        <w:rPr>
          <w:rFonts w:hint="default" w:ascii="Times New Roman" w:hAnsi="Times New Roman" w:eastAsia="仿宋_GB2312" w:cs="Times New Roman"/>
          <w:color w:val="auto"/>
          <w:sz w:val="24"/>
          <w:u w:val="none"/>
          <w:lang w:val="en-US" w:eastAsia="zh-CN"/>
        </w:rPr>
        <w:t>国家现行技术规范标准要求，请根据以下整改意见尽快组织整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color w:val="auto"/>
          <w:sz w:val="24"/>
          <w:u w:val="none"/>
          <w:lang w:val="en-US" w:eastAsia="zh-CN"/>
        </w:rPr>
      </w:pPr>
      <w:r>
        <w:rPr>
          <w:rFonts w:hint="default" w:ascii="Times New Roman" w:hAnsi="Times New Roman" w:eastAsia="仿宋_GB2312" w:cs="Times New Roman"/>
          <w:color w:val="auto"/>
          <w:sz w:val="24"/>
          <w:u w:val="none"/>
          <w:lang w:val="en-US" w:eastAsia="zh-CN"/>
        </w:rPr>
        <w:t>改，整改完成后联系复检。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仿宋_GB2312" w:cs="Times New Roman"/>
          <w:color w:val="auto"/>
          <w:sz w:val="24"/>
          <w:u w:val="none"/>
          <w:lang w:val="en-US" w:eastAsia="zh-CN"/>
        </w:rPr>
        <w:t>整改意见如下：</w:t>
      </w: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 w:firstLineChars="200"/>
        <w:textAlignment w:val="auto"/>
        <w:rPr>
          <w:rFonts w:hint="default" w:ascii="Times New Roman" w:hAnsi="Times New Roman" w:eastAsia="宋体" w:cs="Times New Roman"/>
          <w:color w:val="auto"/>
          <w:sz w:val="24"/>
        </w:rPr>
      </w:pPr>
    </w:p>
    <w:p>
      <w:pPr>
        <w:pStyle w:val="5"/>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exact"/>
        <w:ind w:left="-1438" w:leftChars="-685" w:firstLine="4800" w:firstLineChars="20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检测机构</w:t>
      </w:r>
      <w:r>
        <w:rPr>
          <w:rFonts w:hint="default" w:ascii="Times New Roman" w:hAnsi="Times New Roman" w:eastAsia="宋体" w:cs="Times New Roman"/>
          <w:color w:val="auto"/>
          <w:sz w:val="24"/>
          <w:lang w:val="en-US" w:eastAsia="zh-CN"/>
        </w:rPr>
        <w:t>（公章）</w:t>
      </w:r>
    </w:p>
    <w:p>
      <w:pPr>
        <w:keepNext w:val="0"/>
        <w:keepLines w:val="0"/>
        <w:pageBreakBefore w:val="0"/>
        <w:widowControl w:val="0"/>
        <w:kinsoku/>
        <w:wordWrap/>
        <w:overflowPunct/>
        <w:topLinePunct w:val="0"/>
        <w:autoSpaceDE/>
        <w:autoSpaceDN/>
        <w:bidi w:val="0"/>
        <w:adjustRightInd/>
        <w:snapToGrid/>
        <w:ind w:right="630" w:rightChars="300" w:firstLine="2400" w:firstLineChars="1000"/>
        <w:jc w:val="righ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日</w:t>
      </w:r>
    </w:p>
    <w:p>
      <w:pPr>
        <w:pStyle w:val="5"/>
        <w:rPr>
          <w:rFonts w:hint="default"/>
          <w:color w:val="auto"/>
        </w:rPr>
      </w:pPr>
    </w:p>
    <w:p>
      <w:pPr>
        <w:tabs>
          <w:tab w:val="left" w:pos="3885"/>
        </w:tabs>
        <w:spacing w:line="300" w:lineRule="exact"/>
        <w:ind w:left="-906" w:leftChars="-452" w:hanging="43" w:hangingChars="18"/>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-95885</wp:posOffset>
                </wp:positionH>
                <wp:positionV relativeFrom="paragraph">
                  <wp:posOffset>19050</wp:posOffset>
                </wp:positionV>
                <wp:extent cx="4429760" cy="6985"/>
                <wp:effectExtent l="0" t="13970" r="8890" b="17145"/>
                <wp:wrapNone/>
                <wp:docPr id="56" name="直接连接符 56"/>
                <wp:cNvGraphicFramePr/>
                <a:graphic xmlns:a="http://schemas.openxmlformats.org/drawingml/2006/main">
                  <a:graphicData uri="http://schemas.microsoft.com/office/word/2010/wordprocessingShape">
                    <wps:wsp>
                      <wps:cNvCnPr/>
                      <wps:spPr>
                        <a:xfrm flipV="1">
                          <a:off x="0" y="0"/>
                          <a:ext cx="4429760" cy="698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7.55pt;margin-top:1.5pt;height:0.55pt;width:348.8pt;z-index:251663360;mso-width-relative:page;mso-height-relative:page;" filled="f" stroked="t" coordsize="21600,21600" o:gfxdata="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TR&#10;yF3ZAAAABwEAAA8AAAAAAAAAAQAgAAAAIgAAAGRycy9kb3ducmV2LnhtbFBLAQIUABQAAAAIAIdO&#10;4kA8SSDx6QEAAKYDAAAOAAAAAAAAAAEAIAAAACgBAABkcnMvZTJvRG9jLnhtbFBLBQYAAAAABgAG&#10;AFkBAACDBQAAAAA=&#10;">
                <v:fill on="f" focussize="0,0"/>
                <v:stroke weight="2.25pt" color="#FF0000" joinstyle="round"/>
                <v:imagedata o:title=""/>
                <o:lock v:ext="edit" aspectratio="f"/>
              </v:line>
            </w:pict>
          </mc:Fallback>
        </mc:AlternateContent>
      </w:r>
    </w:p>
    <w:p>
      <w:pPr>
        <w:keepNext w:val="0"/>
        <w:keepLines w:val="0"/>
        <w:pageBreakBefore w:val="0"/>
        <w:widowControl w:val="0"/>
        <w:tabs>
          <w:tab w:val="left" w:pos="3885"/>
        </w:tabs>
        <w:kinsoku/>
        <w:wordWrap/>
        <w:overflowPunct/>
        <w:topLinePunct w:val="0"/>
        <w:autoSpaceDE/>
        <w:autoSpaceDN/>
        <w:bidi w:val="0"/>
        <w:adjustRightInd/>
        <w:snapToGrid/>
        <w:spacing w:line="300" w:lineRule="exact"/>
        <w:ind w:left="256" w:leftChars="122" w:firstLine="379" w:firstLineChars="146"/>
        <w:textAlignment w:val="auto"/>
        <w:rPr>
          <w:rFonts w:hint="default" w:ascii="Times New Roman" w:hAnsi="Times New Roman" w:cs="Times New Roman"/>
          <w:color w:val="auto"/>
          <w:sz w:val="26"/>
          <w:szCs w:val="26"/>
        </w:rPr>
      </w:pPr>
      <w:r>
        <w:rPr>
          <w:rFonts w:hint="default" w:ascii="Times New Roman" w:hAnsi="Times New Roman" w:cs="Times New Roman"/>
          <w:color w:val="auto"/>
          <w:sz w:val="26"/>
          <w:szCs w:val="26"/>
        </w:rPr>
        <w:t>地址：</w:t>
      </w:r>
      <w:r>
        <w:rPr>
          <w:rFonts w:hint="default" w:ascii="Times New Roman" w:hAnsi="Times New Roman" w:eastAsia="宋体" w:cs="Times New Roman"/>
          <w:color w:val="auto"/>
          <w:sz w:val="26"/>
          <w:szCs w:val="26"/>
          <w:lang w:val="en-US" w:eastAsia="zh-CN"/>
        </w:rPr>
        <w:t>XX</w:t>
      </w:r>
      <w:r>
        <w:rPr>
          <w:rFonts w:hint="default" w:ascii="Times New Roman" w:hAnsi="Times New Roman" w:cs="Times New Roman"/>
          <w:color w:val="auto"/>
          <w:sz w:val="26"/>
          <w:szCs w:val="26"/>
        </w:rPr>
        <w:t>市</w:t>
      </w:r>
      <w:r>
        <w:rPr>
          <w:rFonts w:hint="default" w:ascii="Times New Roman" w:hAnsi="Times New Roman" w:eastAsia="宋体" w:cs="Times New Roman"/>
          <w:color w:val="auto"/>
          <w:sz w:val="26"/>
          <w:szCs w:val="26"/>
          <w:lang w:val="en-US" w:eastAsia="zh-CN"/>
        </w:rPr>
        <w:t>XX</w:t>
      </w:r>
      <w:r>
        <w:rPr>
          <w:rFonts w:hint="default" w:ascii="Times New Roman" w:hAnsi="Times New Roman" w:cs="Times New Roman"/>
          <w:color w:val="auto"/>
          <w:sz w:val="26"/>
          <w:szCs w:val="26"/>
        </w:rPr>
        <w:t>区</w:t>
      </w:r>
      <w:r>
        <w:rPr>
          <w:rFonts w:hint="default" w:ascii="Times New Roman" w:hAnsi="Times New Roman" w:eastAsia="宋体" w:cs="Times New Roman"/>
          <w:color w:val="auto"/>
          <w:sz w:val="26"/>
          <w:szCs w:val="26"/>
          <w:lang w:val="en-US" w:eastAsia="zh-CN"/>
        </w:rPr>
        <w:t>XXXX</w:t>
      </w:r>
      <w:r>
        <w:rPr>
          <w:rFonts w:hint="default" w:ascii="Times New Roman" w:hAnsi="Times New Roman" w:cs="Times New Roman"/>
          <w:color w:val="auto"/>
          <w:sz w:val="26"/>
          <w:szCs w:val="26"/>
        </w:rPr>
        <w:t>路</w:t>
      </w:r>
      <w:r>
        <w:rPr>
          <w:rFonts w:hint="default" w:ascii="Times New Roman" w:hAnsi="Times New Roman" w:eastAsia="宋体" w:cs="Times New Roman"/>
          <w:color w:val="auto"/>
          <w:sz w:val="26"/>
          <w:szCs w:val="26"/>
          <w:lang w:val="en-US" w:eastAsia="zh-CN"/>
        </w:rPr>
        <w:t>XXXX</w:t>
      </w:r>
      <w:r>
        <w:rPr>
          <w:rFonts w:hint="default" w:ascii="Times New Roman" w:hAnsi="Times New Roman" w:cs="Times New Roman"/>
          <w:color w:val="auto"/>
          <w:sz w:val="26"/>
          <w:szCs w:val="26"/>
        </w:rPr>
        <w:t>号</w:t>
      </w:r>
    </w:p>
    <w:p>
      <w:pPr>
        <w:keepNext w:val="0"/>
        <w:keepLines w:val="0"/>
        <w:pageBreakBefore w:val="0"/>
        <w:widowControl w:val="0"/>
        <w:tabs>
          <w:tab w:val="left" w:pos="3885"/>
        </w:tabs>
        <w:kinsoku/>
        <w:wordWrap/>
        <w:overflowPunct/>
        <w:topLinePunct w:val="0"/>
        <w:autoSpaceDE/>
        <w:autoSpaceDN/>
        <w:bidi w:val="0"/>
        <w:adjustRightInd/>
        <w:snapToGrid/>
        <w:spacing w:line="300" w:lineRule="exact"/>
        <w:ind w:left="0" w:leftChars="0" w:firstLine="639" w:firstLineChars="246"/>
        <w:textAlignment w:val="auto"/>
        <w:rPr>
          <w:rFonts w:hint="default" w:ascii="Times New Roman" w:hAnsi="Times New Roman" w:eastAsia="黑体" w:cs="Times New Roman"/>
          <w:color w:val="auto"/>
          <w:sz w:val="18"/>
          <w:szCs w:val="18"/>
          <w:lang w:val="en-US" w:eastAsia="zh-CN"/>
        </w:rPr>
      </w:pPr>
      <w:r>
        <w:rPr>
          <w:rFonts w:hint="default" w:ascii="Times New Roman" w:hAnsi="Times New Roman" w:cs="Times New Roman"/>
          <w:color w:val="auto"/>
          <w:sz w:val="26"/>
          <w:szCs w:val="26"/>
        </w:rPr>
        <w:t>电话：</w:t>
      </w:r>
    </w:p>
    <w:sectPr>
      <w:pgSz w:w="16838" w:h="11906" w:orient="landscape"/>
      <w:pgMar w:top="952" w:right="1497" w:bottom="896" w:left="1327" w:header="851" w:footer="992" w:gutter="0"/>
      <w:pgBorders>
        <w:top w:val="none" w:color="auto" w:sz="0" w:space="0"/>
        <w:left w:val="none" w:color="auto" w:sz="0" w:space="0"/>
        <w:bottom w:val="none" w:color="auto" w:sz="0" w:space="0"/>
        <w:right w:val="none" w:color="auto" w:sz="0" w:space="0"/>
      </w:pgBorders>
      <w:pgNumType w:fmt="decimal"/>
      <w:cols w:equalWidth="0" w:num="2">
        <w:col w:w="6794" w:space="425"/>
        <w:col w:w="6794"/>
      </w:cols>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90990CC-3EE4-49A5-B538-5833BF3EFCD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AA84F538-3E7C-4E8B-A64E-745511E048C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00000000" w:usb1="00000000" w:usb2="00000000" w:usb3="00000000" w:csb0="00000000" w:csb1="00000000"/>
    <w:embedRegular r:id="rId3" w:fontKey="{D244F51F-1879-4B6C-8E14-BBC71016303F}"/>
  </w:font>
  <w:font w:name="方正小标宋_GBK">
    <w:panose1 w:val="03000509000000000000"/>
    <w:charset w:val="86"/>
    <w:family w:val="script"/>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7F" w:usb3="00000000" w:csb0="203F01FF" w:csb1="DFFF0000"/>
  </w:font>
  <w:font w:name="方正小标宋简体">
    <w:panose1 w:val="02010601030101010101"/>
    <w:charset w:val="86"/>
    <w:family w:val="auto"/>
    <w:pitch w:val="default"/>
    <w:sig w:usb0="00000001" w:usb1="080E0000" w:usb2="00000000" w:usb3="00000000" w:csb0="00040000" w:csb1="00000000"/>
    <w:embedRegular r:id="rId4" w:fontKey="{714C753F-8D6E-4ABF-9ED1-76093E6F3190}"/>
  </w:font>
  <w:font w:name="楷体">
    <w:panose1 w:val="02010609060101010101"/>
    <w:charset w:val="86"/>
    <w:family w:val="auto"/>
    <w:pitch w:val="default"/>
    <w:sig w:usb0="800002BF" w:usb1="38CF7CFA" w:usb2="00000016" w:usb3="00000000" w:csb0="00040001" w:csb1="00000000"/>
    <w:embedRegular r:id="rId5" w:fontKey="{596974E7-C176-4432-95C9-328D5C7E3171}"/>
  </w:font>
  <w:font w:name="仿宋_GB2312">
    <w:panose1 w:val="02010609030101010101"/>
    <w:charset w:val="86"/>
    <w:family w:val="modern"/>
    <w:pitch w:val="default"/>
    <w:sig w:usb0="00000000" w:usb1="00000000" w:usb2="00000000" w:usb3="00000000" w:csb0="00000000" w:csb1="00000000"/>
    <w:embedRegular r:id="rId6" w:fontKey="{A7219E60-D5CC-4044-A04A-00E3088A1ECA}"/>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9"/>
                      <w:jc w:val="center"/>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default"/>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Aa1OYW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wGtTmFgIAABUEAAAOAAAAAAAA&#10;AAEAIAAAAB8BAABkcnMvZTJvRG9jLnhtbFBLBQYAAAAABgAGAFkBAACnBQAAAAA=&#10;">
              <v:fill on="f" focussize="0,0"/>
              <v:stroke on="f" weight="0.5pt"/>
              <v:imagedata o:title=""/>
              <o:lock v:ext="edit" aspectratio="f"/>
              <v:textbox inset="0mm,0mm,0mm,0mm" style="mso-fit-shape-to-text:t;">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8"/>
        <w:szCs w:val="2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9"/>
                      <w:jc w:val="center"/>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default" w:eastAsia="宋体"/>
        <w:sz w:val="28"/>
        <w:szCs w:val="28"/>
        <w:lang w:val="en-US" w:eastAsia="zh-CN"/>
      </w:rPr>
    </w:pPr>
    <w:r>
      <w:rPr>
        <w:sz w:val="28"/>
        <w:szCs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emoQ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ZnpqEEwIAABUEAAAOAAAAAAAAAAEA&#10;IAAAAB8BAABkcnMvZTJvRG9jLnhtbFBLBQYAAAAABgAGAFkBAACkBQ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9"/>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p>
    <w:pPr>
      <w:pStyle w:val="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both"/>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pPr>
                      <w:pStyle w:val="9"/>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387CB"/>
    <w:multiLevelType w:val="multilevel"/>
    <w:tmpl w:val="0A8387CB"/>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embedTrueTypeFonts/>
  <w:saveSubsetFonts/>
  <w:bordersDoNotSurroundHeader w:val="0"/>
  <w:bordersDoNotSurroundFooter w:val="0"/>
  <w:documentProtection w:formatting="1"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FhYmJjMGQ2OTAzYzg5Nzg3MDVjOGRmYTE5MjgzZDIifQ=="/>
  </w:docVars>
  <w:rsids>
    <w:rsidRoot w:val="003F26FB"/>
    <w:rsid w:val="000004C9"/>
    <w:rsid w:val="0000152E"/>
    <w:rsid w:val="00004133"/>
    <w:rsid w:val="00005396"/>
    <w:rsid w:val="00006AA0"/>
    <w:rsid w:val="00011F06"/>
    <w:rsid w:val="00015D91"/>
    <w:rsid w:val="000170F1"/>
    <w:rsid w:val="0002164B"/>
    <w:rsid w:val="00024234"/>
    <w:rsid w:val="000255F6"/>
    <w:rsid w:val="00025CC5"/>
    <w:rsid w:val="00026504"/>
    <w:rsid w:val="0003017E"/>
    <w:rsid w:val="00035BCC"/>
    <w:rsid w:val="00041961"/>
    <w:rsid w:val="00045FBC"/>
    <w:rsid w:val="000473EA"/>
    <w:rsid w:val="000512E9"/>
    <w:rsid w:val="000513FF"/>
    <w:rsid w:val="000539E2"/>
    <w:rsid w:val="00063E3C"/>
    <w:rsid w:val="0006693C"/>
    <w:rsid w:val="00070F8F"/>
    <w:rsid w:val="000717A6"/>
    <w:rsid w:val="0007521F"/>
    <w:rsid w:val="00076693"/>
    <w:rsid w:val="00076D01"/>
    <w:rsid w:val="00077741"/>
    <w:rsid w:val="000803C8"/>
    <w:rsid w:val="000828B5"/>
    <w:rsid w:val="000829F9"/>
    <w:rsid w:val="000876AE"/>
    <w:rsid w:val="00087DA0"/>
    <w:rsid w:val="00096FEE"/>
    <w:rsid w:val="000A4AF9"/>
    <w:rsid w:val="000A7BD4"/>
    <w:rsid w:val="000B046E"/>
    <w:rsid w:val="000B2526"/>
    <w:rsid w:val="000B402F"/>
    <w:rsid w:val="000B455C"/>
    <w:rsid w:val="000C6289"/>
    <w:rsid w:val="000D0C87"/>
    <w:rsid w:val="000D2416"/>
    <w:rsid w:val="000D347E"/>
    <w:rsid w:val="000D349A"/>
    <w:rsid w:val="000D40B7"/>
    <w:rsid w:val="000D5778"/>
    <w:rsid w:val="000D6CF6"/>
    <w:rsid w:val="000E4242"/>
    <w:rsid w:val="000F382D"/>
    <w:rsid w:val="000F4185"/>
    <w:rsid w:val="000F6CF5"/>
    <w:rsid w:val="000F75B4"/>
    <w:rsid w:val="00102350"/>
    <w:rsid w:val="001059E1"/>
    <w:rsid w:val="00110E30"/>
    <w:rsid w:val="001158DC"/>
    <w:rsid w:val="001167A0"/>
    <w:rsid w:val="00120427"/>
    <w:rsid w:val="0012235E"/>
    <w:rsid w:val="0012311C"/>
    <w:rsid w:val="001231BB"/>
    <w:rsid w:val="00124C9C"/>
    <w:rsid w:val="00127611"/>
    <w:rsid w:val="00131ED1"/>
    <w:rsid w:val="001344AD"/>
    <w:rsid w:val="00134B3B"/>
    <w:rsid w:val="001350E6"/>
    <w:rsid w:val="001371B2"/>
    <w:rsid w:val="00144B41"/>
    <w:rsid w:val="0014546C"/>
    <w:rsid w:val="001464E4"/>
    <w:rsid w:val="00147CD1"/>
    <w:rsid w:val="00150AB8"/>
    <w:rsid w:val="00152CFB"/>
    <w:rsid w:val="00154040"/>
    <w:rsid w:val="00154E60"/>
    <w:rsid w:val="001617A0"/>
    <w:rsid w:val="0016217C"/>
    <w:rsid w:val="00170A41"/>
    <w:rsid w:val="00172FE1"/>
    <w:rsid w:val="00181C44"/>
    <w:rsid w:val="00181F25"/>
    <w:rsid w:val="0018290F"/>
    <w:rsid w:val="00185556"/>
    <w:rsid w:val="00186553"/>
    <w:rsid w:val="0018779B"/>
    <w:rsid w:val="001912F3"/>
    <w:rsid w:val="00191684"/>
    <w:rsid w:val="00192174"/>
    <w:rsid w:val="00192B12"/>
    <w:rsid w:val="00196F8A"/>
    <w:rsid w:val="001976CA"/>
    <w:rsid w:val="001A493F"/>
    <w:rsid w:val="001A67CE"/>
    <w:rsid w:val="001B7046"/>
    <w:rsid w:val="001C2344"/>
    <w:rsid w:val="001C39D1"/>
    <w:rsid w:val="001C42CB"/>
    <w:rsid w:val="001C5FDE"/>
    <w:rsid w:val="001D1ED8"/>
    <w:rsid w:val="001D5E5C"/>
    <w:rsid w:val="001E271B"/>
    <w:rsid w:val="001E53DF"/>
    <w:rsid w:val="001E547F"/>
    <w:rsid w:val="001F0878"/>
    <w:rsid w:val="001F327C"/>
    <w:rsid w:val="001F3AA7"/>
    <w:rsid w:val="001F412E"/>
    <w:rsid w:val="001F51CC"/>
    <w:rsid w:val="001F6A03"/>
    <w:rsid w:val="002041D7"/>
    <w:rsid w:val="00211ADD"/>
    <w:rsid w:val="0021613E"/>
    <w:rsid w:val="00222293"/>
    <w:rsid w:val="00223B1E"/>
    <w:rsid w:val="002274A9"/>
    <w:rsid w:val="002305C7"/>
    <w:rsid w:val="00241A59"/>
    <w:rsid w:val="0024206C"/>
    <w:rsid w:val="002428E6"/>
    <w:rsid w:val="00243F6F"/>
    <w:rsid w:val="00246E45"/>
    <w:rsid w:val="00251267"/>
    <w:rsid w:val="00253920"/>
    <w:rsid w:val="00255B35"/>
    <w:rsid w:val="00255C77"/>
    <w:rsid w:val="00257485"/>
    <w:rsid w:val="00261670"/>
    <w:rsid w:val="002705A8"/>
    <w:rsid w:val="0027135F"/>
    <w:rsid w:val="00276B07"/>
    <w:rsid w:val="00276BB8"/>
    <w:rsid w:val="00282F65"/>
    <w:rsid w:val="002853A6"/>
    <w:rsid w:val="00286654"/>
    <w:rsid w:val="00294501"/>
    <w:rsid w:val="00295417"/>
    <w:rsid w:val="00296A99"/>
    <w:rsid w:val="00296D72"/>
    <w:rsid w:val="00297725"/>
    <w:rsid w:val="00297AE7"/>
    <w:rsid w:val="002A2192"/>
    <w:rsid w:val="002A2E0C"/>
    <w:rsid w:val="002A43DD"/>
    <w:rsid w:val="002B0317"/>
    <w:rsid w:val="002B1CA2"/>
    <w:rsid w:val="002B3FDE"/>
    <w:rsid w:val="002B6069"/>
    <w:rsid w:val="002B7EBD"/>
    <w:rsid w:val="002C39F2"/>
    <w:rsid w:val="002C3BF0"/>
    <w:rsid w:val="002C52B0"/>
    <w:rsid w:val="002C69B6"/>
    <w:rsid w:val="002C72EC"/>
    <w:rsid w:val="002D26E1"/>
    <w:rsid w:val="002D50AE"/>
    <w:rsid w:val="002D557B"/>
    <w:rsid w:val="002E599C"/>
    <w:rsid w:val="002F072F"/>
    <w:rsid w:val="002F10BA"/>
    <w:rsid w:val="002F1916"/>
    <w:rsid w:val="002F371E"/>
    <w:rsid w:val="002F4A5A"/>
    <w:rsid w:val="002F556C"/>
    <w:rsid w:val="003003F3"/>
    <w:rsid w:val="00304FB4"/>
    <w:rsid w:val="00306EC9"/>
    <w:rsid w:val="0031430E"/>
    <w:rsid w:val="00317B4A"/>
    <w:rsid w:val="00320BED"/>
    <w:rsid w:val="0032120E"/>
    <w:rsid w:val="00325EE1"/>
    <w:rsid w:val="003350C8"/>
    <w:rsid w:val="00340A39"/>
    <w:rsid w:val="00342912"/>
    <w:rsid w:val="003504F9"/>
    <w:rsid w:val="003508C2"/>
    <w:rsid w:val="00354038"/>
    <w:rsid w:val="003544D5"/>
    <w:rsid w:val="00356DA8"/>
    <w:rsid w:val="003644C5"/>
    <w:rsid w:val="0036451F"/>
    <w:rsid w:val="003658B6"/>
    <w:rsid w:val="00371457"/>
    <w:rsid w:val="003742DE"/>
    <w:rsid w:val="00374D8A"/>
    <w:rsid w:val="003838C5"/>
    <w:rsid w:val="0038391D"/>
    <w:rsid w:val="003840BD"/>
    <w:rsid w:val="003856EB"/>
    <w:rsid w:val="00394C54"/>
    <w:rsid w:val="0039791F"/>
    <w:rsid w:val="00397D6B"/>
    <w:rsid w:val="003A366B"/>
    <w:rsid w:val="003A3E31"/>
    <w:rsid w:val="003A5F7A"/>
    <w:rsid w:val="003B255D"/>
    <w:rsid w:val="003B6D27"/>
    <w:rsid w:val="003B77BA"/>
    <w:rsid w:val="003C20EF"/>
    <w:rsid w:val="003C23D7"/>
    <w:rsid w:val="003C5384"/>
    <w:rsid w:val="003C625E"/>
    <w:rsid w:val="003D01B3"/>
    <w:rsid w:val="003D3004"/>
    <w:rsid w:val="003D326C"/>
    <w:rsid w:val="003D4C9A"/>
    <w:rsid w:val="003D72B0"/>
    <w:rsid w:val="003D77FC"/>
    <w:rsid w:val="003D7BE3"/>
    <w:rsid w:val="003E1494"/>
    <w:rsid w:val="003E181F"/>
    <w:rsid w:val="003E7237"/>
    <w:rsid w:val="003E77B1"/>
    <w:rsid w:val="003F1080"/>
    <w:rsid w:val="003F26FB"/>
    <w:rsid w:val="003F427A"/>
    <w:rsid w:val="003F5121"/>
    <w:rsid w:val="003F6348"/>
    <w:rsid w:val="003F685E"/>
    <w:rsid w:val="004007FE"/>
    <w:rsid w:val="00400B2B"/>
    <w:rsid w:val="00403987"/>
    <w:rsid w:val="00406AF5"/>
    <w:rsid w:val="00413C99"/>
    <w:rsid w:val="00414257"/>
    <w:rsid w:val="00416B0A"/>
    <w:rsid w:val="00417868"/>
    <w:rsid w:val="00417DDE"/>
    <w:rsid w:val="004225FA"/>
    <w:rsid w:val="00422BF8"/>
    <w:rsid w:val="0043071B"/>
    <w:rsid w:val="00430AC5"/>
    <w:rsid w:val="00433E14"/>
    <w:rsid w:val="00433F0B"/>
    <w:rsid w:val="004353F7"/>
    <w:rsid w:val="00435AEC"/>
    <w:rsid w:val="0043756F"/>
    <w:rsid w:val="004406AA"/>
    <w:rsid w:val="0044101D"/>
    <w:rsid w:val="0044294F"/>
    <w:rsid w:val="004455A8"/>
    <w:rsid w:val="0044707C"/>
    <w:rsid w:val="00451453"/>
    <w:rsid w:val="004602F3"/>
    <w:rsid w:val="00463069"/>
    <w:rsid w:val="004633CA"/>
    <w:rsid w:val="004642E2"/>
    <w:rsid w:val="00465787"/>
    <w:rsid w:val="00465BC7"/>
    <w:rsid w:val="00466CB1"/>
    <w:rsid w:val="004713FE"/>
    <w:rsid w:val="0047619B"/>
    <w:rsid w:val="004773C0"/>
    <w:rsid w:val="00480280"/>
    <w:rsid w:val="004808D8"/>
    <w:rsid w:val="00485D74"/>
    <w:rsid w:val="00486608"/>
    <w:rsid w:val="00493535"/>
    <w:rsid w:val="004A156B"/>
    <w:rsid w:val="004A48BF"/>
    <w:rsid w:val="004A555D"/>
    <w:rsid w:val="004A5D4F"/>
    <w:rsid w:val="004B0408"/>
    <w:rsid w:val="004B1A6C"/>
    <w:rsid w:val="004B1A6F"/>
    <w:rsid w:val="004B2407"/>
    <w:rsid w:val="004B45EB"/>
    <w:rsid w:val="004B6D33"/>
    <w:rsid w:val="004B71C4"/>
    <w:rsid w:val="004B728B"/>
    <w:rsid w:val="004C511B"/>
    <w:rsid w:val="004D0364"/>
    <w:rsid w:val="004D23D8"/>
    <w:rsid w:val="004D28C3"/>
    <w:rsid w:val="004E04D7"/>
    <w:rsid w:val="004E071C"/>
    <w:rsid w:val="004E108C"/>
    <w:rsid w:val="004E1502"/>
    <w:rsid w:val="004E1C9C"/>
    <w:rsid w:val="004E3EA2"/>
    <w:rsid w:val="004E6EE0"/>
    <w:rsid w:val="004F1300"/>
    <w:rsid w:val="004F1A9D"/>
    <w:rsid w:val="004F39B0"/>
    <w:rsid w:val="0051076E"/>
    <w:rsid w:val="00511553"/>
    <w:rsid w:val="0052158A"/>
    <w:rsid w:val="005216D1"/>
    <w:rsid w:val="00522EAF"/>
    <w:rsid w:val="0052685D"/>
    <w:rsid w:val="00530649"/>
    <w:rsid w:val="0053320D"/>
    <w:rsid w:val="00541788"/>
    <w:rsid w:val="00545F11"/>
    <w:rsid w:val="005464E3"/>
    <w:rsid w:val="00550626"/>
    <w:rsid w:val="00551EC9"/>
    <w:rsid w:val="00552351"/>
    <w:rsid w:val="0055276E"/>
    <w:rsid w:val="00554F95"/>
    <w:rsid w:val="00565F76"/>
    <w:rsid w:val="00570E45"/>
    <w:rsid w:val="00571797"/>
    <w:rsid w:val="00577EF1"/>
    <w:rsid w:val="005811CC"/>
    <w:rsid w:val="0058673B"/>
    <w:rsid w:val="00592CC6"/>
    <w:rsid w:val="00594357"/>
    <w:rsid w:val="005954F2"/>
    <w:rsid w:val="00596DCC"/>
    <w:rsid w:val="005971C2"/>
    <w:rsid w:val="005A13A8"/>
    <w:rsid w:val="005A4DA3"/>
    <w:rsid w:val="005B01A7"/>
    <w:rsid w:val="005B1D3B"/>
    <w:rsid w:val="005B35CF"/>
    <w:rsid w:val="005B62D5"/>
    <w:rsid w:val="005B6952"/>
    <w:rsid w:val="005B78D3"/>
    <w:rsid w:val="005C3406"/>
    <w:rsid w:val="005C46AE"/>
    <w:rsid w:val="005C50F9"/>
    <w:rsid w:val="005C5469"/>
    <w:rsid w:val="005D07F0"/>
    <w:rsid w:val="005D1245"/>
    <w:rsid w:val="005D2254"/>
    <w:rsid w:val="005D2F19"/>
    <w:rsid w:val="005D3E0A"/>
    <w:rsid w:val="005E0786"/>
    <w:rsid w:val="005E11D7"/>
    <w:rsid w:val="005E3384"/>
    <w:rsid w:val="005E5B42"/>
    <w:rsid w:val="005E5DCB"/>
    <w:rsid w:val="005E72FB"/>
    <w:rsid w:val="005F0F85"/>
    <w:rsid w:val="005F1B54"/>
    <w:rsid w:val="005F2F61"/>
    <w:rsid w:val="005F5AA2"/>
    <w:rsid w:val="005F606F"/>
    <w:rsid w:val="005F66B8"/>
    <w:rsid w:val="006007E0"/>
    <w:rsid w:val="0060094F"/>
    <w:rsid w:val="006013D7"/>
    <w:rsid w:val="00601E8F"/>
    <w:rsid w:val="006031FE"/>
    <w:rsid w:val="0061021D"/>
    <w:rsid w:val="0061527A"/>
    <w:rsid w:val="006177B0"/>
    <w:rsid w:val="006179A3"/>
    <w:rsid w:val="0062095F"/>
    <w:rsid w:val="00620D6A"/>
    <w:rsid w:val="00624921"/>
    <w:rsid w:val="00626640"/>
    <w:rsid w:val="006273B5"/>
    <w:rsid w:val="006328B1"/>
    <w:rsid w:val="006364C6"/>
    <w:rsid w:val="00642EBB"/>
    <w:rsid w:val="006440D1"/>
    <w:rsid w:val="00645676"/>
    <w:rsid w:val="00647178"/>
    <w:rsid w:val="006503D5"/>
    <w:rsid w:val="0065202E"/>
    <w:rsid w:val="006557F7"/>
    <w:rsid w:val="00661DC9"/>
    <w:rsid w:val="00662A91"/>
    <w:rsid w:val="00665857"/>
    <w:rsid w:val="00667F70"/>
    <w:rsid w:val="00673A1B"/>
    <w:rsid w:val="0067428D"/>
    <w:rsid w:val="00682A3E"/>
    <w:rsid w:val="00684188"/>
    <w:rsid w:val="00690938"/>
    <w:rsid w:val="00692E23"/>
    <w:rsid w:val="006945BC"/>
    <w:rsid w:val="00695E83"/>
    <w:rsid w:val="006976F6"/>
    <w:rsid w:val="00697C57"/>
    <w:rsid w:val="006A293B"/>
    <w:rsid w:val="006A41A2"/>
    <w:rsid w:val="006A5336"/>
    <w:rsid w:val="006A5728"/>
    <w:rsid w:val="006B5267"/>
    <w:rsid w:val="006B7B32"/>
    <w:rsid w:val="006C0767"/>
    <w:rsid w:val="006C30B8"/>
    <w:rsid w:val="006C43B3"/>
    <w:rsid w:val="006D2D6D"/>
    <w:rsid w:val="006D5378"/>
    <w:rsid w:val="006E00C8"/>
    <w:rsid w:val="006E6043"/>
    <w:rsid w:val="006F1724"/>
    <w:rsid w:val="006F358C"/>
    <w:rsid w:val="006F5875"/>
    <w:rsid w:val="00710E2D"/>
    <w:rsid w:val="0071413E"/>
    <w:rsid w:val="00724B52"/>
    <w:rsid w:val="0073280C"/>
    <w:rsid w:val="007340FE"/>
    <w:rsid w:val="00737D4B"/>
    <w:rsid w:val="00740D88"/>
    <w:rsid w:val="0074275A"/>
    <w:rsid w:val="0074326D"/>
    <w:rsid w:val="0074359A"/>
    <w:rsid w:val="00744814"/>
    <w:rsid w:val="00750D23"/>
    <w:rsid w:val="00754B14"/>
    <w:rsid w:val="00756FDD"/>
    <w:rsid w:val="00760612"/>
    <w:rsid w:val="00760D38"/>
    <w:rsid w:val="00771326"/>
    <w:rsid w:val="007713E6"/>
    <w:rsid w:val="00774164"/>
    <w:rsid w:val="00776C8F"/>
    <w:rsid w:val="007774AB"/>
    <w:rsid w:val="0078021B"/>
    <w:rsid w:val="007819F4"/>
    <w:rsid w:val="007828B4"/>
    <w:rsid w:val="007854B0"/>
    <w:rsid w:val="00785DF1"/>
    <w:rsid w:val="00790610"/>
    <w:rsid w:val="0079348A"/>
    <w:rsid w:val="0079460B"/>
    <w:rsid w:val="007A1C83"/>
    <w:rsid w:val="007A2DBF"/>
    <w:rsid w:val="007A3057"/>
    <w:rsid w:val="007A4C20"/>
    <w:rsid w:val="007B015C"/>
    <w:rsid w:val="007B6C3B"/>
    <w:rsid w:val="007C07F8"/>
    <w:rsid w:val="007C0E05"/>
    <w:rsid w:val="007D56AD"/>
    <w:rsid w:val="007E5527"/>
    <w:rsid w:val="007E604F"/>
    <w:rsid w:val="007E7D62"/>
    <w:rsid w:val="007F0241"/>
    <w:rsid w:val="007F2242"/>
    <w:rsid w:val="007F4425"/>
    <w:rsid w:val="007F6CA0"/>
    <w:rsid w:val="007F7F6F"/>
    <w:rsid w:val="008063C6"/>
    <w:rsid w:val="00807180"/>
    <w:rsid w:val="00807FA3"/>
    <w:rsid w:val="008110E3"/>
    <w:rsid w:val="00813B2C"/>
    <w:rsid w:val="00814947"/>
    <w:rsid w:val="00814B7D"/>
    <w:rsid w:val="0082131A"/>
    <w:rsid w:val="00821DAF"/>
    <w:rsid w:val="00822A76"/>
    <w:rsid w:val="0082631B"/>
    <w:rsid w:val="00830B8E"/>
    <w:rsid w:val="008312ED"/>
    <w:rsid w:val="00833DB8"/>
    <w:rsid w:val="00834A38"/>
    <w:rsid w:val="00834E49"/>
    <w:rsid w:val="00837D07"/>
    <w:rsid w:val="00840B88"/>
    <w:rsid w:val="008418D7"/>
    <w:rsid w:val="008451CD"/>
    <w:rsid w:val="008453D0"/>
    <w:rsid w:val="00853C06"/>
    <w:rsid w:val="00861244"/>
    <w:rsid w:val="00862049"/>
    <w:rsid w:val="0086393F"/>
    <w:rsid w:val="00864426"/>
    <w:rsid w:val="008722D3"/>
    <w:rsid w:val="00874BC5"/>
    <w:rsid w:val="0087728B"/>
    <w:rsid w:val="00881A18"/>
    <w:rsid w:val="00881ABE"/>
    <w:rsid w:val="008827FB"/>
    <w:rsid w:val="008838E7"/>
    <w:rsid w:val="00883980"/>
    <w:rsid w:val="00884256"/>
    <w:rsid w:val="00886287"/>
    <w:rsid w:val="00890F92"/>
    <w:rsid w:val="00891187"/>
    <w:rsid w:val="008916EB"/>
    <w:rsid w:val="00893649"/>
    <w:rsid w:val="00893788"/>
    <w:rsid w:val="008941A5"/>
    <w:rsid w:val="008A4E69"/>
    <w:rsid w:val="008B17DC"/>
    <w:rsid w:val="008B6816"/>
    <w:rsid w:val="008B7EF7"/>
    <w:rsid w:val="008C0CB6"/>
    <w:rsid w:val="008C277B"/>
    <w:rsid w:val="008C606D"/>
    <w:rsid w:val="008C66EB"/>
    <w:rsid w:val="008C749D"/>
    <w:rsid w:val="008D08A6"/>
    <w:rsid w:val="008D2C77"/>
    <w:rsid w:val="008D3A6A"/>
    <w:rsid w:val="008E627E"/>
    <w:rsid w:val="008E6E21"/>
    <w:rsid w:val="008F0899"/>
    <w:rsid w:val="008F0A48"/>
    <w:rsid w:val="008F405D"/>
    <w:rsid w:val="008F5B5F"/>
    <w:rsid w:val="00903310"/>
    <w:rsid w:val="00905804"/>
    <w:rsid w:val="00905A41"/>
    <w:rsid w:val="0091001C"/>
    <w:rsid w:val="009129D3"/>
    <w:rsid w:val="00912F95"/>
    <w:rsid w:val="0091311A"/>
    <w:rsid w:val="00914A7B"/>
    <w:rsid w:val="00915DD4"/>
    <w:rsid w:val="00917E1E"/>
    <w:rsid w:val="0092079B"/>
    <w:rsid w:val="00921721"/>
    <w:rsid w:val="00926DD3"/>
    <w:rsid w:val="00927F4B"/>
    <w:rsid w:val="0093201C"/>
    <w:rsid w:val="00934B31"/>
    <w:rsid w:val="00935DC3"/>
    <w:rsid w:val="0094004F"/>
    <w:rsid w:val="00940D73"/>
    <w:rsid w:val="00947201"/>
    <w:rsid w:val="00961289"/>
    <w:rsid w:val="0096129B"/>
    <w:rsid w:val="009617C7"/>
    <w:rsid w:val="0096199E"/>
    <w:rsid w:val="00963948"/>
    <w:rsid w:val="00963BED"/>
    <w:rsid w:val="00966655"/>
    <w:rsid w:val="0097156C"/>
    <w:rsid w:val="009717F3"/>
    <w:rsid w:val="0097368E"/>
    <w:rsid w:val="009747C1"/>
    <w:rsid w:val="00977CD0"/>
    <w:rsid w:val="00983EB6"/>
    <w:rsid w:val="0098421A"/>
    <w:rsid w:val="0098796D"/>
    <w:rsid w:val="00990E3F"/>
    <w:rsid w:val="009A1FEA"/>
    <w:rsid w:val="009A3FD3"/>
    <w:rsid w:val="009A6AD1"/>
    <w:rsid w:val="009B05F2"/>
    <w:rsid w:val="009B1B3D"/>
    <w:rsid w:val="009B2D05"/>
    <w:rsid w:val="009B301D"/>
    <w:rsid w:val="009B3987"/>
    <w:rsid w:val="009B5A1F"/>
    <w:rsid w:val="009C112A"/>
    <w:rsid w:val="009C2389"/>
    <w:rsid w:val="009C3B26"/>
    <w:rsid w:val="009C55E2"/>
    <w:rsid w:val="009C561B"/>
    <w:rsid w:val="009C5AC8"/>
    <w:rsid w:val="009D2518"/>
    <w:rsid w:val="009D2687"/>
    <w:rsid w:val="009D308F"/>
    <w:rsid w:val="009D5FB8"/>
    <w:rsid w:val="009E13EC"/>
    <w:rsid w:val="009F2E9F"/>
    <w:rsid w:val="009F5119"/>
    <w:rsid w:val="00A00791"/>
    <w:rsid w:val="00A00DE1"/>
    <w:rsid w:val="00A02568"/>
    <w:rsid w:val="00A110C4"/>
    <w:rsid w:val="00A13950"/>
    <w:rsid w:val="00A13DF8"/>
    <w:rsid w:val="00A154B4"/>
    <w:rsid w:val="00A16061"/>
    <w:rsid w:val="00A20AB0"/>
    <w:rsid w:val="00A2738C"/>
    <w:rsid w:val="00A34B67"/>
    <w:rsid w:val="00A34D26"/>
    <w:rsid w:val="00A375F6"/>
    <w:rsid w:val="00A46230"/>
    <w:rsid w:val="00A46DBB"/>
    <w:rsid w:val="00A54DD1"/>
    <w:rsid w:val="00A575F1"/>
    <w:rsid w:val="00A60F82"/>
    <w:rsid w:val="00A6336B"/>
    <w:rsid w:val="00A64DF9"/>
    <w:rsid w:val="00A707BB"/>
    <w:rsid w:val="00A71B08"/>
    <w:rsid w:val="00A75B37"/>
    <w:rsid w:val="00A80F4E"/>
    <w:rsid w:val="00A854A0"/>
    <w:rsid w:val="00A905A9"/>
    <w:rsid w:val="00A921B1"/>
    <w:rsid w:val="00A943BC"/>
    <w:rsid w:val="00AA0576"/>
    <w:rsid w:val="00AA3A4B"/>
    <w:rsid w:val="00AA4537"/>
    <w:rsid w:val="00AB38C4"/>
    <w:rsid w:val="00AB6A9E"/>
    <w:rsid w:val="00AC287F"/>
    <w:rsid w:val="00AC2969"/>
    <w:rsid w:val="00AC7665"/>
    <w:rsid w:val="00AD2E47"/>
    <w:rsid w:val="00AE5B6A"/>
    <w:rsid w:val="00AF0D55"/>
    <w:rsid w:val="00B009FE"/>
    <w:rsid w:val="00B05621"/>
    <w:rsid w:val="00B14B27"/>
    <w:rsid w:val="00B239BA"/>
    <w:rsid w:val="00B23A0C"/>
    <w:rsid w:val="00B24C10"/>
    <w:rsid w:val="00B25277"/>
    <w:rsid w:val="00B2692C"/>
    <w:rsid w:val="00B312E4"/>
    <w:rsid w:val="00B340D3"/>
    <w:rsid w:val="00B44073"/>
    <w:rsid w:val="00B457D3"/>
    <w:rsid w:val="00B52DF3"/>
    <w:rsid w:val="00B53442"/>
    <w:rsid w:val="00B53635"/>
    <w:rsid w:val="00B55234"/>
    <w:rsid w:val="00B57E20"/>
    <w:rsid w:val="00B66F07"/>
    <w:rsid w:val="00B71158"/>
    <w:rsid w:val="00B74058"/>
    <w:rsid w:val="00B75618"/>
    <w:rsid w:val="00B85EB3"/>
    <w:rsid w:val="00B91206"/>
    <w:rsid w:val="00B95B10"/>
    <w:rsid w:val="00BA0145"/>
    <w:rsid w:val="00BA605D"/>
    <w:rsid w:val="00BA681F"/>
    <w:rsid w:val="00BB09E4"/>
    <w:rsid w:val="00BB287D"/>
    <w:rsid w:val="00BB7FA7"/>
    <w:rsid w:val="00BC25C4"/>
    <w:rsid w:val="00BC57D5"/>
    <w:rsid w:val="00BC6739"/>
    <w:rsid w:val="00BD60F2"/>
    <w:rsid w:val="00BE1196"/>
    <w:rsid w:val="00BE3A9D"/>
    <w:rsid w:val="00BE53CD"/>
    <w:rsid w:val="00BF04D2"/>
    <w:rsid w:val="00C0075A"/>
    <w:rsid w:val="00C0626C"/>
    <w:rsid w:val="00C106CA"/>
    <w:rsid w:val="00C11AD4"/>
    <w:rsid w:val="00C127F5"/>
    <w:rsid w:val="00C152E0"/>
    <w:rsid w:val="00C264FD"/>
    <w:rsid w:val="00C3085D"/>
    <w:rsid w:val="00C33B90"/>
    <w:rsid w:val="00C4179B"/>
    <w:rsid w:val="00C4217C"/>
    <w:rsid w:val="00C4226C"/>
    <w:rsid w:val="00C42317"/>
    <w:rsid w:val="00C4640C"/>
    <w:rsid w:val="00C53FF5"/>
    <w:rsid w:val="00C557F2"/>
    <w:rsid w:val="00C55C60"/>
    <w:rsid w:val="00C560E1"/>
    <w:rsid w:val="00C5699F"/>
    <w:rsid w:val="00C60697"/>
    <w:rsid w:val="00C63D8C"/>
    <w:rsid w:val="00C63F99"/>
    <w:rsid w:val="00C64628"/>
    <w:rsid w:val="00C8075A"/>
    <w:rsid w:val="00C83BFB"/>
    <w:rsid w:val="00C90ABD"/>
    <w:rsid w:val="00C92840"/>
    <w:rsid w:val="00C946BF"/>
    <w:rsid w:val="00C969EF"/>
    <w:rsid w:val="00C97F54"/>
    <w:rsid w:val="00C97F71"/>
    <w:rsid w:val="00CA440B"/>
    <w:rsid w:val="00CA7434"/>
    <w:rsid w:val="00CA7946"/>
    <w:rsid w:val="00CB1E2C"/>
    <w:rsid w:val="00CB4310"/>
    <w:rsid w:val="00CB718B"/>
    <w:rsid w:val="00CC279F"/>
    <w:rsid w:val="00CC40DA"/>
    <w:rsid w:val="00CC4173"/>
    <w:rsid w:val="00CC4C27"/>
    <w:rsid w:val="00CC5B4D"/>
    <w:rsid w:val="00CD3265"/>
    <w:rsid w:val="00CD3535"/>
    <w:rsid w:val="00CD5469"/>
    <w:rsid w:val="00CD64CD"/>
    <w:rsid w:val="00CE07E6"/>
    <w:rsid w:val="00CE1555"/>
    <w:rsid w:val="00CE4AA7"/>
    <w:rsid w:val="00CE7299"/>
    <w:rsid w:val="00CF18D7"/>
    <w:rsid w:val="00CF26A8"/>
    <w:rsid w:val="00CF2AF8"/>
    <w:rsid w:val="00CF5E36"/>
    <w:rsid w:val="00D00DCA"/>
    <w:rsid w:val="00D07842"/>
    <w:rsid w:val="00D07D41"/>
    <w:rsid w:val="00D108A1"/>
    <w:rsid w:val="00D11609"/>
    <w:rsid w:val="00D1349C"/>
    <w:rsid w:val="00D15320"/>
    <w:rsid w:val="00D2200C"/>
    <w:rsid w:val="00D22BAC"/>
    <w:rsid w:val="00D336AC"/>
    <w:rsid w:val="00D342F3"/>
    <w:rsid w:val="00D35DE8"/>
    <w:rsid w:val="00D42B17"/>
    <w:rsid w:val="00D455D2"/>
    <w:rsid w:val="00D527D7"/>
    <w:rsid w:val="00D5325B"/>
    <w:rsid w:val="00D5427E"/>
    <w:rsid w:val="00D542B7"/>
    <w:rsid w:val="00D555E0"/>
    <w:rsid w:val="00D56617"/>
    <w:rsid w:val="00D6346A"/>
    <w:rsid w:val="00D63BB8"/>
    <w:rsid w:val="00D658ED"/>
    <w:rsid w:val="00D66EBA"/>
    <w:rsid w:val="00D82F32"/>
    <w:rsid w:val="00D85453"/>
    <w:rsid w:val="00D86720"/>
    <w:rsid w:val="00D97CE6"/>
    <w:rsid w:val="00DA4E48"/>
    <w:rsid w:val="00DA7B3C"/>
    <w:rsid w:val="00DB24EF"/>
    <w:rsid w:val="00DB2DFE"/>
    <w:rsid w:val="00DB5B7D"/>
    <w:rsid w:val="00DC0CA1"/>
    <w:rsid w:val="00DC57D1"/>
    <w:rsid w:val="00DC5EC9"/>
    <w:rsid w:val="00DD127D"/>
    <w:rsid w:val="00DD158F"/>
    <w:rsid w:val="00DD335D"/>
    <w:rsid w:val="00DD7859"/>
    <w:rsid w:val="00DE0D28"/>
    <w:rsid w:val="00DE41B8"/>
    <w:rsid w:val="00DE6069"/>
    <w:rsid w:val="00DE7AF1"/>
    <w:rsid w:val="00DF1EEA"/>
    <w:rsid w:val="00DF4ED6"/>
    <w:rsid w:val="00DF58F8"/>
    <w:rsid w:val="00DF7683"/>
    <w:rsid w:val="00DF7845"/>
    <w:rsid w:val="00E03D76"/>
    <w:rsid w:val="00E07E47"/>
    <w:rsid w:val="00E1162E"/>
    <w:rsid w:val="00E12E00"/>
    <w:rsid w:val="00E13566"/>
    <w:rsid w:val="00E145FF"/>
    <w:rsid w:val="00E21DD8"/>
    <w:rsid w:val="00E22FE2"/>
    <w:rsid w:val="00E25423"/>
    <w:rsid w:val="00E26D16"/>
    <w:rsid w:val="00E2700D"/>
    <w:rsid w:val="00E27889"/>
    <w:rsid w:val="00E32708"/>
    <w:rsid w:val="00E32FDA"/>
    <w:rsid w:val="00E34FE3"/>
    <w:rsid w:val="00E35AF2"/>
    <w:rsid w:val="00E36877"/>
    <w:rsid w:val="00E37341"/>
    <w:rsid w:val="00E4263D"/>
    <w:rsid w:val="00E42C6B"/>
    <w:rsid w:val="00E43D24"/>
    <w:rsid w:val="00E44A37"/>
    <w:rsid w:val="00E44D64"/>
    <w:rsid w:val="00E511BF"/>
    <w:rsid w:val="00E5693C"/>
    <w:rsid w:val="00E60C04"/>
    <w:rsid w:val="00E623AE"/>
    <w:rsid w:val="00E658DB"/>
    <w:rsid w:val="00E66671"/>
    <w:rsid w:val="00E70A0A"/>
    <w:rsid w:val="00E70B6E"/>
    <w:rsid w:val="00E70BC9"/>
    <w:rsid w:val="00E77818"/>
    <w:rsid w:val="00E80816"/>
    <w:rsid w:val="00E83F48"/>
    <w:rsid w:val="00E847F1"/>
    <w:rsid w:val="00E84978"/>
    <w:rsid w:val="00E9040C"/>
    <w:rsid w:val="00E92C70"/>
    <w:rsid w:val="00E95D1C"/>
    <w:rsid w:val="00E97820"/>
    <w:rsid w:val="00EA107D"/>
    <w:rsid w:val="00EA331D"/>
    <w:rsid w:val="00EA3F42"/>
    <w:rsid w:val="00EA7A1D"/>
    <w:rsid w:val="00EB0179"/>
    <w:rsid w:val="00EB22DC"/>
    <w:rsid w:val="00EB60DF"/>
    <w:rsid w:val="00EB79C7"/>
    <w:rsid w:val="00EC4924"/>
    <w:rsid w:val="00EC641E"/>
    <w:rsid w:val="00EC7F2E"/>
    <w:rsid w:val="00ED040D"/>
    <w:rsid w:val="00ED1529"/>
    <w:rsid w:val="00ED40F8"/>
    <w:rsid w:val="00ED4347"/>
    <w:rsid w:val="00EF0154"/>
    <w:rsid w:val="00EF086D"/>
    <w:rsid w:val="00EF205A"/>
    <w:rsid w:val="00EF3629"/>
    <w:rsid w:val="00EF7770"/>
    <w:rsid w:val="00F00736"/>
    <w:rsid w:val="00F012BC"/>
    <w:rsid w:val="00F06C6E"/>
    <w:rsid w:val="00F0762E"/>
    <w:rsid w:val="00F10578"/>
    <w:rsid w:val="00F11986"/>
    <w:rsid w:val="00F11F96"/>
    <w:rsid w:val="00F12255"/>
    <w:rsid w:val="00F13BAD"/>
    <w:rsid w:val="00F14122"/>
    <w:rsid w:val="00F14F07"/>
    <w:rsid w:val="00F15C37"/>
    <w:rsid w:val="00F15E61"/>
    <w:rsid w:val="00F20F67"/>
    <w:rsid w:val="00F27361"/>
    <w:rsid w:val="00F278C4"/>
    <w:rsid w:val="00F3045E"/>
    <w:rsid w:val="00F32D3A"/>
    <w:rsid w:val="00F3402E"/>
    <w:rsid w:val="00F36611"/>
    <w:rsid w:val="00F44E0A"/>
    <w:rsid w:val="00F47873"/>
    <w:rsid w:val="00F5514D"/>
    <w:rsid w:val="00F579F8"/>
    <w:rsid w:val="00F619F9"/>
    <w:rsid w:val="00F61D07"/>
    <w:rsid w:val="00F650E5"/>
    <w:rsid w:val="00F656B8"/>
    <w:rsid w:val="00F6581F"/>
    <w:rsid w:val="00F738C6"/>
    <w:rsid w:val="00F7729B"/>
    <w:rsid w:val="00F775E2"/>
    <w:rsid w:val="00F80890"/>
    <w:rsid w:val="00F87D8E"/>
    <w:rsid w:val="00F91F50"/>
    <w:rsid w:val="00FA04F6"/>
    <w:rsid w:val="00FA1E31"/>
    <w:rsid w:val="00FA55E3"/>
    <w:rsid w:val="00FA561C"/>
    <w:rsid w:val="00FB177E"/>
    <w:rsid w:val="00FB1D7B"/>
    <w:rsid w:val="00FB2851"/>
    <w:rsid w:val="00FC069E"/>
    <w:rsid w:val="00FC1954"/>
    <w:rsid w:val="00FC1D3A"/>
    <w:rsid w:val="00FC2898"/>
    <w:rsid w:val="00FD09A9"/>
    <w:rsid w:val="00FD699F"/>
    <w:rsid w:val="00FE31B2"/>
    <w:rsid w:val="00FE52FF"/>
    <w:rsid w:val="00FF1CCB"/>
    <w:rsid w:val="017D3D50"/>
    <w:rsid w:val="018F6A3E"/>
    <w:rsid w:val="019571A4"/>
    <w:rsid w:val="02025461"/>
    <w:rsid w:val="02A4476B"/>
    <w:rsid w:val="02DC3F04"/>
    <w:rsid w:val="03031A64"/>
    <w:rsid w:val="033D3925"/>
    <w:rsid w:val="03566554"/>
    <w:rsid w:val="03687B26"/>
    <w:rsid w:val="036D7252"/>
    <w:rsid w:val="0385634A"/>
    <w:rsid w:val="038B4773"/>
    <w:rsid w:val="038C43EC"/>
    <w:rsid w:val="03975625"/>
    <w:rsid w:val="041B36CB"/>
    <w:rsid w:val="042E035E"/>
    <w:rsid w:val="04695C6C"/>
    <w:rsid w:val="04DC01EC"/>
    <w:rsid w:val="0516303A"/>
    <w:rsid w:val="051A0F51"/>
    <w:rsid w:val="053604D1"/>
    <w:rsid w:val="05407AA0"/>
    <w:rsid w:val="05765F06"/>
    <w:rsid w:val="05B95FF6"/>
    <w:rsid w:val="05FA76C7"/>
    <w:rsid w:val="060B3C4D"/>
    <w:rsid w:val="061E0B8A"/>
    <w:rsid w:val="062A696F"/>
    <w:rsid w:val="063D4384"/>
    <w:rsid w:val="06621671"/>
    <w:rsid w:val="06640499"/>
    <w:rsid w:val="069663AD"/>
    <w:rsid w:val="06A24271"/>
    <w:rsid w:val="06BF473B"/>
    <w:rsid w:val="06C673A5"/>
    <w:rsid w:val="06CA7024"/>
    <w:rsid w:val="06CC0700"/>
    <w:rsid w:val="06F061D0"/>
    <w:rsid w:val="07031836"/>
    <w:rsid w:val="07205765"/>
    <w:rsid w:val="07391925"/>
    <w:rsid w:val="073C1416"/>
    <w:rsid w:val="07632E46"/>
    <w:rsid w:val="077A61A3"/>
    <w:rsid w:val="079E1230"/>
    <w:rsid w:val="080E553A"/>
    <w:rsid w:val="082373BB"/>
    <w:rsid w:val="0844151C"/>
    <w:rsid w:val="084C38DA"/>
    <w:rsid w:val="085C7EDB"/>
    <w:rsid w:val="08626E0F"/>
    <w:rsid w:val="088F377A"/>
    <w:rsid w:val="0890126C"/>
    <w:rsid w:val="08AC2FA7"/>
    <w:rsid w:val="08AF3746"/>
    <w:rsid w:val="08D15B8E"/>
    <w:rsid w:val="08E25FED"/>
    <w:rsid w:val="09296F84"/>
    <w:rsid w:val="092C3A18"/>
    <w:rsid w:val="093C56FD"/>
    <w:rsid w:val="095306EF"/>
    <w:rsid w:val="096A0766"/>
    <w:rsid w:val="09973490"/>
    <w:rsid w:val="099C619C"/>
    <w:rsid w:val="09B8292C"/>
    <w:rsid w:val="09C132FB"/>
    <w:rsid w:val="0A12343B"/>
    <w:rsid w:val="0A1E3055"/>
    <w:rsid w:val="0A2A3F87"/>
    <w:rsid w:val="0A33043C"/>
    <w:rsid w:val="0A5151D8"/>
    <w:rsid w:val="0A59408D"/>
    <w:rsid w:val="0AA3355A"/>
    <w:rsid w:val="0B1D155E"/>
    <w:rsid w:val="0B2E376B"/>
    <w:rsid w:val="0B44482D"/>
    <w:rsid w:val="0B5E4AC0"/>
    <w:rsid w:val="0B662F05"/>
    <w:rsid w:val="0B9C6927"/>
    <w:rsid w:val="0BDF1ACE"/>
    <w:rsid w:val="0BE502CE"/>
    <w:rsid w:val="0BED2CDE"/>
    <w:rsid w:val="0C487984"/>
    <w:rsid w:val="0C550884"/>
    <w:rsid w:val="0C5D3812"/>
    <w:rsid w:val="0C6A2581"/>
    <w:rsid w:val="0C7C3A57"/>
    <w:rsid w:val="0CD8050E"/>
    <w:rsid w:val="0CE61631"/>
    <w:rsid w:val="0CF63E15"/>
    <w:rsid w:val="0D055ED2"/>
    <w:rsid w:val="0D1424ED"/>
    <w:rsid w:val="0D183D8B"/>
    <w:rsid w:val="0DAD0FFE"/>
    <w:rsid w:val="0DB60772"/>
    <w:rsid w:val="0DBF05F2"/>
    <w:rsid w:val="0DCE4C45"/>
    <w:rsid w:val="0DE63E89"/>
    <w:rsid w:val="0E5D736F"/>
    <w:rsid w:val="0E731F27"/>
    <w:rsid w:val="0E9438E5"/>
    <w:rsid w:val="0F1D46D8"/>
    <w:rsid w:val="0F241F09"/>
    <w:rsid w:val="0F307AB2"/>
    <w:rsid w:val="0F574C8A"/>
    <w:rsid w:val="0F73174D"/>
    <w:rsid w:val="0FAD5F50"/>
    <w:rsid w:val="0FE268D2"/>
    <w:rsid w:val="10460B1D"/>
    <w:rsid w:val="107760AF"/>
    <w:rsid w:val="113272DB"/>
    <w:rsid w:val="11477335"/>
    <w:rsid w:val="1183592C"/>
    <w:rsid w:val="11930226"/>
    <w:rsid w:val="11C456DB"/>
    <w:rsid w:val="11C6005B"/>
    <w:rsid w:val="11EC43A5"/>
    <w:rsid w:val="11F03528"/>
    <w:rsid w:val="125F6FC1"/>
    <w:rsid w:val="12A539B2"/>
    <w:rsid w:val="12B83BE5"/>
    <w:rsid w:val="12DB7D35"/>
    <w:rsid w:val="12EA4B47"/>
    <w:rsid w:val="134D0507"/>
    <w:rsid w:val="134E623B"/>
    <w:rsid w:val="134E6A3B"/>
    <w:rsid w:val="13E46BAF"/>
    <w:rsid w:val="13F45AA0"/>
    <w:rsid w:val="142D2812"/>
    <w:rsid w:val="14895643"/>
    <w:rsid w:val="14943583"/>
    <w:rsid w:val="14AA20B4"/>
    <w:rsid w:val="1502574E"/>
    <w:rsid w:val="152229F6"/>
    <w:rsid w:val="15322EF7"/>
    <w:rsid w:val="15511CF9"/>
    <w:rsid w:val="15592B10"/>
    <w:rsid w:val="159B695C"/>
    <w:rsid w:val="15D409D9"/>
    <w:rsid w:val="15E9533C"/>
    <w:rsid w:val="15ED2624"/>
    <w:rsid w:val="16101AC2"/>
    <w:rsid w:val="1619147B"/>
    <w:rsid w:val="16337E88"/>
    <w:rsid w:val="163C139B"/>
    <w:rsid w:val="163E350B"/>
    <w:rsid w:val="166D73C1"/>
    <w:rsid w:val="16804EFD"/>
    <w:rsid w:val="16857815"/>
    <w:rsid w:val="169C3C7F"/>
    <w:rsid w:val="17095353"/>
    <w:rsid w:val="17135872"/>
    <w:rsid w:val="17400AAE"/>
    <w:rsid w:val="17644040"/>
    <w:rsid w:val="177A5491"/>
    <w:rsid w:val="179F7397"/>
    <w:rsid w:val="17A74C5B"/>
    <w:rsid w:val="17D80CE7"/>
    <w:rsid w:val="17E01B36"/>
    <w:rsid w:val="1823063E"/>
    <w:rsid w:val="185D743E"/>
    <w:rsid w:val="185F457F"/>
    <w:rsid w:val="187327BD"/>
    <w:rsid w:val="18B057C0"/>
    <w:rsid w:val="18E10F3D"/>
    <w:rsid w:val="18E17482"/>
    <w:rsid w:val="18E641D7"/>
    <w:rsid w:val="18FA6C07"/>
    <w:rsid w:val="19000B10"/>
    <w:rsid w:val="19632832"/>
    <w:rsid w:val="197D166F"/>
    <w:rsid w:val="198726B2"/>
    <w:rsid w:val="19D03922"/>
    <w:rsid w:val="19DA3970"/>
    <w:rsid w:val="19E25E4D"/>
    <w:rsid w:val="1AC11F06"/>
    <w:rsid w:val="1ACB4B33"/>
    <w:rsid w:val="1ADA4D76"/>
    <w:rsid w:val="1B2B737F"/>
    <w:rsid w:val="1B326960"/>
    <w:rsid w:val="1B8B3FA4"/>
    <w:rsid w:val="1BBD10E1"/>
    <w:rsid w:val="1BDE43F2"/>
    <w:rsid w:val="1BEA2D97"/>
    <w:rsid w:val="1C071B9A"/>
    <w:rsid w:val="1C1D236E"/>
    <w:rsid w:val="1C1E4571"/>
    <w:rsid w:val="1C254A9B"/>
    <w:rsid w:val="1C302955"/>
    <w:rsid w:val="1C407122"/>
    <w:rsid w:val="1C7D00AF"/>
    <w:rsid w:val="1CB4366B"/>
    <w:rsid w:val="1CDB3570"/>
    <w:rsid w:val="1D2E13A9"/>
    <w:rsid w:val="1D7B2840"/>
    <w:rsid w:val="1DC1122A"/>
    <w:rsid w:val="1DD2336E"/>
    <w:rsid w:val="1E0B76C7"/>
    <w:rsid w:val="1E4C5F8A"/>
    <w:rsid w:val="1E636E30"/>
    <w:rsid w:val="1EB678A8"/>
    <w:rsid w:val="1ED307E2"/>
    <w:rsid w:val="1EE72D06"/>
    <w:rsid w:val="1F2C36C6"/>
    <w:rsid w:val="1F817DF8"/>
    <w:rsid w:val="1FD71884"/>
    <w:rsid w:val="20144886"/>
    <w:rsid w:val="20537911"/>
    <w:rsid w:val="2079476D"/>
    <w:rsid w:val="208D63E6"/>
    <w:rsid w:val="20987265"/>
    <w:rsid w:val="20CF4C51"/>
    <w:rsid w:val="2122018D"/>
    <w:rsid w:val="22325497"/>
    <w:rsid w:val="227B4B31"/>
    <w:rsid w:val="22AC6FF8"/>
    <w:rsid w:val="22AE5D73"/>
    <w:rsid w:val="22AF19D5"/>
    <w:rsid w:val="22C93A9C"/>
    <w:rsid w:val="22D075AD"/>
    <w:rsid w:val="23193BFF"/>
    <w:rsid w:val="236A6E47"/>
    <w:rsid w:val="23CC074A"/>
    <w:rsid w:val="23D85B09"/>
    <w:rsid w:val="23DB136D"/>
    <w:rsid w:val="23DE58D7"/>
    <w:rsid w:val="23DE74FC"/>
    <w:rsid w:val="24060E83"/>
    <w:rsid w:val="241F4950"/>
    <w:rsid w:val="24823FEB"/>
    <w:rsid w:val="249F41F3"/>
    <w:rsid w:val="24D50029"/>
    <w:rsid w:val="25381017"/>
    <w:rsid w:val="253B4663"/>
    <w:rsid w:val="253D5128"/>
    <w:rsid w:val="254974CF"/>
    <w:rsid w:val="25875AFA"/>
    <w:rsid w:val="258B2D3A"/>
    <w:rsid w:val="25E1520A"/>
    <w:rsid w:val="25EA625C"/>
    <w:rsid w:val="2601765A"/>
    <w:rsid w:val="265924DF"/>
    <w:rsid w:val="26661DD1"/>
    <w:rsid w:val="267970AE"/>
    <w:rsid w:val="26AD1590"/>
    <w:rsid w:val="26D406FE"/>
    <w:rsid w:val="26F31699"/>
    <w:rsid w:val="27406B3E"/>
    <w:rsid w:val="27457B64"/>
    <w:rsid w:val="274C0DA9"/>
    <w:rsid w:val="275066FB"/>
    <w:rsid w:val="27560D2F"/>
    <w:rsid w:val="27962024"/>
    <w:rsid w:val="279A4889"/>
    <w:rsid w:val="27BF5A1F"/>
    <w:rsid w:val="27D07A0D"/>
    <w:rsid w:val="280D678A"/>
    <w:rsid w:val="28612632"/>
    <w:rsid w:val="28AD1513"/>
    <w:rsid w:val="28F069EC"/>
    <w:rsid w:val="29231FDE"/>
    <w:rsid w:val="29437F8A"/>
    <w:rsid w:val="29440941"/>
    <w:rsid w:val="29934A6D"/>
    <w:rsid w:val="29AE5D4B"/>
    <w:rsid w:val="29D4087F"/>
    <w:rsid w:val="2A793D9C"/>
    <w:rsid w:val="2A9F38E6"/>
    <w:rsid w:val="2B110340"/>
    <w:rsid w:val="2B381FB0"/>
    <w:rsid w:val="2B45623B"/>
    <w:rsid w:val="2B762959"/>
    <w:rsid w:val="2BBA09D7"/>
    <w:rsid w:val="2BC3635D"/>
    <w:rsid w:val="2BC83B6F"/>
    <w:rsid w:val="2C07414F"/>
    <w:rsid w:val="2C6170A5"/>
    <w:rsid w:val="2C6B05E5"/>
    <w:rsid w:val="2C8E77D4"/>
    <w:rsid w:val="2CBC252D"/>
    <w:rsid w:val="2CD31625"/>
    <w:rsid w:val="2CDA7E62"/>
    <w:rsid w:val="2D4B511A"/>
    <w:rsid w:val="2DA134D1"/>
    <w:rsid w:val="2DA245BA"/>
    <w:rsid w:val="2DD02422"/>
    <w:rsid w:val="2DFD2DFD"/>
    <w:rsid w:val="2E156399"/>
    <w:rsid w:val="2E183793"/>
    <w:rsid w:val="2E2A1A8D"/>
    <w:rsid w:val="2E433E3D"/>
    <w:rsid w:val="2E6B633D"/>
    <w:rsid w:val="2E7510C8"/>
    <w:rsid w:val="2E8C546A"/>
    <w:rsid w:val="2EAE5EA6"/>
    <w:rsid w:val="2EFC30B5"/>
    <w:rsid w:val="2F000738"/>
    <w:rsid w:val="2F105661"/>
    <w:rsid w:val="2F155F25"/>
    <w:rsid w:val="2F1E302B"/>
    <w:rsid w:val="2F3C4DDE"/>
    <w:rsid w:val="2F3D6487"/>
    <w:rsid w:val="2F4810B9"/>
    <w:rsid w:val="2F4B2025"/>
    <w:rsid w:val="2F6F4B44"/>
    <w:rsid w:val="2F8C3602"/>
    <w:rsid w:val="2F8D01B1"/>
    <w:rsid w:val="2F9E5F1A"/>
    <w:rsid w:val="2FA06136"/>
    <w:rsid w:val="2FCF33D0"/>
    <w:rsid w:val="2FE73E15"/>
    <w:rsid w:val="30204B81"/>
    <w:rsid w:val="302E0171"/>
    <w:rsid w:val="3069477A"/>
    <w:rsid w:val="308710A4"/>
    <w:rsid w:val="30C3310C"/>
    <w:rsid w:val="31041376"/>
    <w:rsid w:val="318525F4"/>
    <w:rsid w:val="318A563C"/>
    <w:rsid w:val="31B25CAD"/>
    <w:rsid w:val="31FA3C94"/>
    <w:rsid w:val="31FD7870"/>
    <w:rsid w:val="320539CB"/>
    <w:rsid w:val="320C7AB3"/>
    <w:rsid w:val="32822059"/>
    <w:rsid w:val="32EB5CFC"/>
    <w:rsid w:val="32F924E4"/>
    <w:rsid w:val="33261FCC"/>
    <w:rsid w:val="33AD2BD0"/>
    <w:rsid w:val="340A48AC"/>
    <w:rsid w:val="343D03F7"/>
    <w:rsid w:val="346D257A"/>
    <w:rsid w:val="348F22D5"/>
    <w:rsid w:val="3497098F"/>
    <w:rsid w:val="34A079C8"/>
    <w:rsid w:val="34A07F53"/>
    <w:rsid w:val="34A52533"/>
    <w:rsid w:val="34D309A5"/>
    <w:rsid w:val="34F15C03"/>
    <w:rsid w:val="350A60B2"/>
    <w:rsid w:val="351D5369"/>
    <w:rsid w:val="353335A8"/>
    <w:rsid w:val="356E638F"/>
    <w:rsid w:val="359769CB"/>
    <w:rsid w:val="35C236B1"/>
    <w:rsid w:val="35D548E2"/>
    <w:rsid w:val="36262BD4"/>
    <w:rsid w:val="364610BA"/>
    <w:rsid w:val="366C1077"/>
    <w:rsid w:val="366E1525"/>
    <w:rsid w:val="36BF53DF"/>
    <w:rsid w:val="36FD3E6E"/>
    <w:rsid w:val="371511B8"/>
    <w:rsid w:val="3720190B"/>
    <w:rsid w:val="379565CB"/>
    <w:rsid w:val="37A35B31"/>
    <w:rsid w:val="38156F95"/>
    <w:rsid w:val="381C0324"/>
    <w:rsid w:val="384D4981"/>
    <w:rsid w:val="386E76A4"/>
    <w:rsid w:val="38A84E43"/>
    <w:rsid w:val="38AF17B6"/>
    <w:rsid w:val="38C03C2B"/>
    <w:rsid w:val="38C42631"/>
    <w:rsid w:val="38C54D4D"/>
    <w:rsid w:val="38D86941"/>
    <w:rsid w:val="392F5105"/>
    <w:rsid w:val="394915ED"/>
    <w:rsid w:val="398754AA"/>
    <w:rsid w:val="39972358"/>
    <w:rsid w:val="3A7F2B75"/>
    <w:rsid w:val="3A8427F2"/>
    <w:rsid w:val="3AC64CA5"/>
    <w:rsid w:val="3B196D9D"/>
    <w:rsid w:val="3B1D1724"/>
    <w:rsid w:val="3B251BE5"/>
    <w:rsid w:val="3B7017EA"/>
    <w:rsid w:val="3B7346FF"/>
    <w:rsid w:val="3B927E95"/>
    <w:rsid w:val="3BA448B8"/>
    <w:rsid w:val="3BC17641"/>
    <w:rsid w:val="3BE028A8"/>
    <w:rsid w:val="3BE30E96"/>
    <w:rsid w:val="3C4816E7"/>
    <w:rsid w:val="3C6A3D54"/>
    <w:rsid w:val="3C8B265C"/>
    <w:rsid w:val="3C8F405E"/>
    <w:rsid w:val="3C923D1F"/>
    <w:rsid w:val="3CB94393"/>
    <w:rsid w:val="3CC316B6"/>
    <w:rsid w:val="3CCD11FE"/>
    <w:rsid w:val="3D1A3AFA"/>
    <w:rsid w:val="3D6A6D4C"/>
    <w:rsid w:val="3D9170BE"/>
    <w:rsid w:val="3D94095C"/>
    <w:rsid w:val="3D993E1E"/>
    <w:rsid w:val="3E18333B"/>
    <w:rsid w:val="3E330D8A"/>
    <w:rsid w:val="3E380001"/>
    <w:rsid w:val="3E5478F9"/>
    <w:rsid w:val="3E734A16"/>
    <w:rsid w:val="3EC161D0"/>
    <w:rsid w:val="3EED17D0"/>
    <w:rsid w:val="3F5440F4"/>
    <w:rsid w:val="3FC71FC7"/>
    <w:rsid w:val="40296CAD"/>
    <w:rsid w:val="403A3A3D"/>
    <w:rsid w:val="4093314D"/>
    <w:rsid w:val="40B67AB8"/>
    <w:rsid w:val="40C81049"/>
    <w:rsid w:val="40D43E92"/>
    <w:rsid w:val="40FB7670"/>
    <w:rsid w:val="41004C87"/>
    <w:rsid w:val="410B53D9"/>
    <w:rsid w:val="416D7624"/>
    <w:rsid w:val="41CE268F"/>
    <w:rsid w:val="41EA08B5"/>
    <w:rsid w:val="41FE4B63"/>
    <w:rsid w:val="42446DF5"/>
    <w:rsid w:val="42664D26"/>
    <w:rsid w:val="42AF743F"/>
    <w:rsid w:val="42CB78D7"/>
    <w:rsid w:val="42FE169A"/>
    <w:rsid w:val="431822BD"/>
    <w:rsid w:val="43214CD4"/>
    <w:rsid w:val="4329591A"/>
    <w:rsid w:val="43322B3E"/>
    <w:rsid w:val="43525542"/>
    <w:rsid w:val="435E5C94"/>
    <w:rsid w:val="43747266"/>
    <w:rsid w:val="438C2802"/>
    <w:rsid w:val="43B419EF"/>
    <w:rsid w:val="443B7EF8"/>
    <w:rsid w:val="444A6219"/>
    <w:rsid w:val="44722F94"/>
    <w:rsid w:val="44867A62"/>
    <w:rsid w:val="44E65F41"/>
    <w:rsid w:val="45067ED4"/>
    <w:rsid w:val="45633A36"/>
    <w:rsid w:val="457D3D41"/>
    <w:rsid w:val="458B6A97"/>
    <w:rsid w:val="45A57BAB"/>
    <w:rsid w:val="45D264C6"/>
    <w:rsid w:val="45EA3BFD"/>
    <w:rsid w:val="46360FA8"/>
    <w:rsid w:val="467A1161"/>
    <w:rsid w:val="46B06807"/>
    <w:rsid w:val="46DF7737"/>
    <w:rsid w:val="46E07C93"/>
    <w:rsid w:val="46F87CD5"/>
    <w:rsid w:val="47266AC9"/>
    <w:rsid w:val="47A15E7D"/>
    <w:rsid w:val="48DA01C5"/>
    <w:rsid w:val="49272491"/>
    <w:rsid w:val="495432A5"/>
    <w:rsid w:val="49AB1508"/>
    <w:rsid w:val="49D46CB0"/>
    <w:rsid w:val="49DB1DED"/>
    <w:rsid w:val="49DF117B"/>
    <w:rsid w:val="49E50EBD"/>
    <w:rsid w:val="4A0B311A"/>
    <w:rsid w:val="4A4A1AA0"/>
    <w:rsid w:val="4A7A7858"/>
    <w:rsid w:val="4AA523FB"/>
    <w:rsid w:val="4B013AD5"/>
    <w:rsid w:val="4B2E23F0"/>
    <w:rsid w:val="4B814C16"/>
    <w:rsid w:val="4BA26C54"/>
    <w:rsid w:val="4BBC17AA"/>
    <w:rsid w:val="4BD016F9"/>
    <w:rsid w:val="4C486BB6"/>
    <w:rsid w:val="4C4D3F50"/>
    <w:rsid w:val="4C8C5620"/>
    <w:rsid w:val="4CB30DFF"/>
    <w:rsid w:val="4CD41C09"/>
    <w:rsid w:val="4CF24D4C"/>
    <w:rsid w:val="4CFB27A6"/>
    <w:rsid w:val="4D21045F"/>
    <w:rsid w:val="4D652611"/>
    <w:rsid w:val="4D752558"/>
    <w:rsid w:val="4D7F6F33"/>
    <w:rsid w:val="4D8B3B2A"/>
    <w:rsid w:val="4DA37D6C"/>
    <w:rsid w:val="4DBF5E46"/>
    <w:rsid w:val="4E1E674C"/>
    <w:rsid w:val="4E5775C2"/>
    <w:rsid w:val="4F204746"/>
    <w:rsid w:val="4F251D5C"/>
    <w:rsid w:val="4F42646A"/>
    <w:rsid w:val="4F4D1EE1"/>
    <w:rsid w:val="4FC13833"/>
    <w:rsid w:val="4FD712A8"/>
    <w:rsid w:val="50083210"/>
    <w:rsid w:val="504D156B"/>
    <w:rsid w:val="508545E5"/>
    <w:rsid w:val="50C11611"/>
    <w:rsid w:val="510B6E04"/>
    <w:rsid w:val="51143E36"/>
    <w:rsid w:val="51153F9C"/>
    <w:rsid w:val="51183C67"/>
    <w:rsid w:val="51236800"/>
    <w:rsid w:val="5155542A"/>
    <w:rsid w:val="51CE0489"/>
    <w:rsid w:val="5219373E"/>
    <w:rsid w:val="52245755"/>
    <w:rsid w:val="52524C16"/>
    <w:rsid w:val="526D1A50"/>
    <w:rsid w:val="528F7916"/>
    <w:rsid w:val="529C6E22"/>
    <w:rsid w:val="52BB0A0D"/>
    <w:rsid w:val="52E6760E"/>
    <w:rsid w:val="52FB36AD"/>
    <w:rsid w:val="530A428E"/>
    <w:rsid w:val="53316F22"/>
    <w:rsid w:val="53395DD6"/>
    <w:rsid w:val="535E15F8"/>
    <w:rsid w:val="53885EEA"/>
    <w:rsid w:val="53AE0572"/>
    <w:rsid w:val="53F046E7"/>
    <w:rsid w:val="540D34EB"/>
    <w:rsid w:val="541F2BC8"/>
    <w:rsid w:val="5463071A"/>
    <w:rsid w:val="54A44D18"/>
    <w:rsid w:val="553C4745"/>
    <w:rsid w:val="556A04C9"/>
    <w:rsid w:val="556F1F83"/>
    <w:rsid w:val="5588094F"/>
    <w:rsid w:val="55A25899"/>
    <w:rsid w:val="55E02539"/>
    <w:rsid w:val="563805C7"/>
    <w:rsid w:val="568F4B6E"/>
    <w:rsid w:val="569C7E2B"/>
    <w:rsid w:val="56B00379"/>
    <w:rsid w:val="57193F55"/>
    <w:rsid w:val="571E47B7"/>
    <w:rsid w:val="57236B81"/>
    <w:rsid w:val="5737262D"/>
    <w:rsid w:val="57672F35"/>
    <w:rsid w:val="579B2BBB"/>
    <w:rsid w:val="579D78FF"/>
    <w:rsid w:val="57B56A4B"/>
    <w:rsid w:val="5800606D"/>
    <w:rsid w:val="580744A0"/>
    <w:rsid w:val="583B614D"/>
    <w:rsid w:val="58EA164E"/>
    <w:rsid w:val="596D4A2C"/>
    <w:rsid w:val="59A440F8"/>
    <w:rsid w:val="59C61909"/>
    <w:rsid w:val="59F477A1"/>
    <w:rsid w:val="5A3B68D8"/>
    <w:rsid w:val="5A5779C7"/>
    <w:rsid w:val="5A7871E4"/>
    <w:rsid w:val="5A8F65D7"/>
    <w:rsid w:val="5A9F29C3"/>
    <w:rsid w:val="5ACE0C44"/>
    <w:rsid w:val="5AD578F0"/>
    <w:rsid w:val="5AD84127"/>
    <w:rsid w:val="5AE72237"/>
    <w:rsid w:val="5B312A2C"/>
    <w:rsid w:val="5C0056E3"/>
    <w:rsid w:val="5C022D49"/>
    <w:rsid w:val="5C052CF9"/>
    <w:rsid w:val="5C1B43D1"/>
    <w:rsid w:val="5C3F3A4A"/>
    <w:rsid w:val="5C445301"/>
    <w:rsid w:val="5D5E722A"/>
    <w:rsid w:val="5D6E6AF4"/>
    <w:rsid w:val="5D720862"/>
    <w:rsid w:val="5D7A5B14"/>
    <w:rsid w:val="5D8B63DD"/>
    <w:rsid w:val="5D923490"/>
    <w:rsid w:val="5DF125B0"/>
    <w:rsid w:val="5E323B4E"/>
    <w:rsid w:val="5E6D4A94"/>
    <w:rsid w:val="5E7A676B"/>
    <w:rsid w:val="5EA94041"/>
    <w:rsid w:val="5EC43FE5"/>
    <w:rsid w:val="5EEE5CC7"/>
    <w:rsid w:val="5F394535"/>
    <w:rsid w:val="5F666B80"/>
    <w:rsid w:val="5F7B680B"/>
    <w:rsid w:val="5F8D7B4E"/>
    <w:rsid w:val="5FAA42E4"/>
    <w:rsid w:val="5FAB4A30"/>
    <w:rsid w:val="5FBD0BAD"/>
    <w:rsid w:val="5FCE5C25"/>
    <w:rsid w:val="5FFD4D19"/>
    <w:rsid w:val="60255718"/>
    <w:rsid w:val="602D281F"/>
    <w:rsid w:val="60693ED8"/>
    <w:rsid w:val="60724571"/>
    <w:rsid w:val="60A60AFC"/>
    <w:rsid w:val="60AC0B71"/>
    <w:rsid w:val="60AD3D36"/>
    <w:rsid w:val="60DB0171"/>
    <w:rsid w:val="610F7855"/>
    <w:rsid w:val="61500EBB"/>
    <w:rsid w:val="617F70AA"/>
    <w:rsid w:val="61A75DDD"/>
    <w:rsid w:val="61B136EC"/>
    <w:rsid w:val="61BA389A"/>
    <w:rsid w:val="62187988"/>
    <w:rsid w:val="622D6B06"/>
    <w:rsid w:val="62654FFD"/>
    <w:rsid w:val="62751C1D"/>
    <w:rsid w:val="62C21944"/>
    <w:rsid w:val="62C7181E"/>
    <w:rsid w:val="62D60F4C"/>
    <w:rsid w:val="62F45876"/>
    <w:rsid w:val="6329551F"/>
    <w:rsid w:val="632F463D"/>
    <w:rsid w:val="63310460"/>
    <w:rsid w:val="636273C7"/>
    <w:rsid w:val="63691DC0"/>
    <w:rsid w:val="6381535B"/>
    <w:rsid w:val="63905D1E"/>
    <w:rsid w:val="63AC2D96"/>
    <w:rsid w:val="63CB5649"/>
    <w:rsid w:val="63D3192F"/>
    <w:rsid w:val="6405163E"/>
    <w:rsid w:val="64095351"/>
    <w:rsid w:val="641C6E32"/>
    <w:rsid w:val="648021CA"/>
    <w:rsid w:val="64B67287"/>
    <w:rsid w:val="64C33752"/>
    <w:rsid w:val="64E65FAF"/>
    <w:rsid w:val="64FD2834"/>
    <w:rsid w:val="652B32AE"/>
    <w:rsid w:val="652D6242"/>
    <w:rsid w:val="66171FA7"/>
    <w:rsid w:val="667D1D22"/>
    <w:rsid w:val="66917364"/>
    <w:rsid w:val="66C35C8B"/>
    <w:rsid w:val="66C508DD"/>
    <w:rsid w:val="66CD3C37"/>
    <w:rsid w:val="670562A3"/>
    <w:rsid w:val="67184229"/>
    <w:rsid w:val="67231DA3"/>
    <w:rsid w:val="673C1CED"/>
    <w:rsid w:val="67B51DAC"/>
    <w:rsid w:val="67C46177"/>
    <w:rsid w:val="67E81E06"/>
    <w:rsid w:val="68356614"/>
    <w:rsid w:val="685C51A4"/>
    <w:rsid w:val="688A4CB2"/>
    <w:rsid w:val="68BE3B9D"/>
    <w:rsid w:val="68F002A5"/>
    <w:rsid w:val="68F33BEB"/>
    <w:rsid w:val="690F567B"/>
    <w:rsid w:val="69442C7A"/>
    <w:rsid w:val="694B43C4"/>
    <w:rsid w:val="69561747"/>
    <w:rsid w:val="69AD429B"/>
    <w:rsid w:val="69AF0EE7"/>
    <w:rsid w:val="6A596387"/>
    <w:rsid w:val="6AAA163C"/>
    <w:rsid w:val="6AB061AF"/>
    <w:rsid w:val="6ABA73A5"/>
    <w:rsid w:val="6B1967C5"/>
    <w:rsid w:val="6B220415"/>
    <w:rsid w:val="6B3F6862"/>
    <w:rsid w:val="6BBD3A50"/>
    <w:rsid w:val="6BDE77D5"/>
    <w:rsid w:val="6BF56A9C"/>
    <w:rsid w:val="6BFB1A23"/>
    <w:rsid w:val="6C5506F2"/>
    <w:rsid w:val="6CA34594"/>
    <w:rsid w:val="6DB8196F"/>
    <w:rsid w:val="6DD469CF"/>
    <w:rsid w:val="6DE20811"/>
    <w:rsid w:val="6DE22E9A"/>
    <w:rsid w:val="6DF00591"/>
    <w:rsid w:val="6DF105B6"/>
    <w:rsid w:val="6E0F17B6"/>
    <w:rsid w:val="6E33625E"/>
    <w:rsid w:val="6E381E6C"/>
    <w:rsid w:val="6E3F4C74"/>
    <w:rsid w:val="6E6B438B"/>
    <w:rsid w:val="6E9E14B7"/>
    <w:rsid w:val="6ECB214E"/>
    <w:rsid w:val="6ED460B3"/>
    <w:rsid w:val="6EEE2FE0"/>
    <w:rsid w:val="6EF2683F"/>
    <w:rsid w:val="6EF763A3"/>
    <w:rsid w:val="6F12569A"/>
    <w:rsid w:val="6F1C4C0A"/>
    <w:rsid w:val="6F4D07E7"/>
    <w:rsid w:val="6F6233ED"/>
    <w:rsid w:val="700E61C9"/>
    <w:rsid w:val="70182BA3"/>
    <w:rsid w:val="701B2694"/>
    <w:rsid w:val="70453BB5"/>
    <w:rsid w:val="706F5F82"/>
    <w:rsid w:val="709D59AA"/>
    <w:rsid w:val="70E15395"/>
    <w:rsid w:val="716167CC"/>
    <w:rsid w:val="71775216"/>
    <w:rsid w:val="718F50E7"/>
    <w:rsid w:val="71AB1441"/>
    <w:rsid w:val="71C61957"/>
    <w:rsid w:val="71CB29A3"/>
    <w:rsid w:val="72094468"/>
    <w:rsid w:val="720D24B0"/>
    <w:rsid w:val="7264408B"/>
    <w:rsid w:val="72972F57"/>
    <w:rsid w:val="72CC5619"/>
    <w:rsid w:val="73291FDF"/>
    <w:rsid w:val="735402C3"/>
    <w:rsid w:val="736507F6"/>
    <w:rsid w:val="737A3D57"/>
    <w:rsid w:val="737B0B5E"/>
    <w:rsid w:val="73DD4830"/>
    <w:rsid w:val="74485A21"/>
    <w:rsid w:val="7456155B"/>
    <w:rsid w:val="74583FCE"/>
    <w:rsid w:val="74E3624D"/>
    <w:rsid w:val="756614F8"/>
    <w:rsid w:val="75915985"/>
    <w:rsid w:val="75956274"/>
    <w:rsid w:val="75B275F6"/>
    <w:rsid w:val="75C31803"/>
    <w:rsid w:val="75C612F4"/>
    <w:rsid w:val="75DC0B17"/>
    <w:rsid w:val="75E002C7"/>
    <w:rsid w:val="75F96FD3"/>
    <w:rsid w:val="75FC4D15"/>
    <w:rsid w:val="76005888"/>
    <w:rsid w:val="761E0757"/>
    <w:rsid w:val="766F5C3A"/>
    <w:rsid w:val="7686306B"/>
    <w:rsid w:val="76F61765"/>
    <w:rsid w:val="76F71CAF"/>
    <w:rsid w:val="7703613C"/>
    <w:rsid w:val="776C7C79"/>
    <w:rsid w:val="77C714D5"/>
    <w:rsid w:val="77CD4BBB"/>
    <w:rsid w:val="77F72A95"/>
    <w:rsid w:val="77FB4464"/>
    <w:rsid w:val="783E517D"/>
    <w:rsid w:val="786B01EB"/>
    <w:rsid w:val="78AC09FA"/>
    <w:rsid w:val="78C130F9"/>
    <w:rsid w:val="78DD498A"/>
    <w:rsid w:val="78E71CAD"/>
    <w:rsid w:val="78EB1DC8"/>
    <w:rsid w:val="7925117C"/>
    <w:rsid w:val="795A247F"/>
    <w:rsid w:val="798219D5"/>
    <w:rsid w:val="79915775"/>
    <w:rsid w:val="79A36D9F"/>
    <w:rsid w:val="79BF5F42"/>
    <w:rsid w:val="79C862EC"/>
    <w:rsid w:val="79DC7338"/>
    <w:rsid w:val="7A086AC3"/>
    <w:rsid w:val="7A664E53"/>
    <w:rsid w:val="7A7726F7"/>
    <w:rsid w:val="7A8F5877"/>
    <w:rsid w:val="7AA75347"/>
    <w:rsid w:val="7B0B59C5"/>
    <w:rsid w:val="7B1E7414"/>
    <w:rsid w:val="7B226FCC"/>
    <w:rsid w:val="7B302CA3"/>
    <w:rsid w:val="7B591BF0"/>
    <w:rsid w:val="7B5E4E76"/>
    <w:rsid w:val="7B742AEA"/>
    <w:rsid w:val="7B7E36F1"/>
    <w:rsid w:val="7BAC1CF8"/>
    <w:rsid w:val="7BC71922"/>
    <w:rsid w:val="7BD84C86"/>
    <w:rsid w:val="7BEC27F1"/>
    <w:rsid w:val="7BFD050F"/>
    <w:rsid w:val="7BFD3595"/>
    <w:rsid w:val="7BFE17E7"/>
    <w:rsid w:val="7C054ACA"/>
    <w:rsid w:val="7C2D3E7B"/>
    <w:rsid w:val="7C484810"/>
    <w:rsid w:val="7C4F2043"/>
    <w:rsid w:val="7C570EF7"/>
    <w:rsid w:val="7C9C622D"/>
    <w:rsid w:val="7CBE3E89"/>
    <w:rsid w:val="7D37400B"/>
    <w:rsid w:val="7D470F6C"/>
    <w:rsid w:val="7D4E4C29"/>
    <w:rsid w:val="7D7C5CE8"/>
    <w:rsid w:val="7D8521B5"/>
    <w:rsid w:val="7DA3347E"/>
    <w:rsid w:val="7E927FC5"/>
    <w:rsid w:val="7EA15ECD"/>
    <w:rsid w:val="7EC02D84"/>
    <w:rsid w:val="7ECF746B"/>
    <w:rsid w:val="7EE13138"/>
    <w:rsid w:val="7EE26944"/>
    <w:rsid w:val="7EEB147F"/>
    <w:rsid w:val="7F2F36CA"/>
    <w:rsid w:val="7F376DBE"/>
    <w:rsid w:val="7F533BF8"/>
    <w:rsid w:val="7F651B7D"/>
    <w:rsid w:val="7F89546E"/>
    <w:rsid w:val="7FD0349B"/>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21"/>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szCs w:val="24"/>
    </w:rPr>
  </w:style>
  <w:style w:type="paragraph" w:styleId="6">
    <w:name w:val="annotation text"/>
    <w:basedOn w:val="1"/>
    <w:unhideWhenUsed/>
    <w:qFormat/>
    <w:uiPriority w:val="99"/>
    <w:pPr>
      <w:jc w:val="left"/>
    </w:p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alloon Text"/>
    <w:basedOn w:val="1"/>
    <w:link w:val="22"/>
    <w:unhideWhenUsed/>
    <w:qFormat/>
    <w:uiPriority w:val="99"/>
    <w:rPr>
      <w:sz w:val="18"/>
      <w:szCs w:val="18"/>
    </w:rPr>
  </w:style>
  <w:style w:type="paragraph" w:styleId="9">
    <w:name w:val="footer"/>
    <w:basedOn w:val="1"/>
    <w:link w:val="20"/>
    <w:unhideWhenUsed/>
    <w:qFormat/>
    <w:uiPriority w:val="99"/>
    <w:pPr>
      <w:tabs>
        <w:tab w:val="center" w:pos="4153"/>
        <w:tab w:val="right" w:pos="8306"/>
      </w:tabs>
      <w:snapToGrid w:val="0"/>
      <w:jc w:val="left"/>
    </w:pPr>
    <w:rPr>
      <w:rFonts w:ascii="Calibri" w:hAnsi="Calibri" w:cs="Times New Roman"/>
      <w:sz w:val="18"/>
      <w:szCs w:val="18"/>
    </w:rPr>
  </w:style>
  <w:style w:type="paragraph" w:styleId="10">
    <w:name w:val="header"/>
    <w:basedOn w:val="1"/>
    <w:link w:val="23"/>
    <w:unhideWhenUsed/>
    <w:qFormat/>
    <w:uiPriority w:val="99"/>
    <w:pPr>
      <w:pBdr>
        <w:bottom w:val="single" w:color="auto" w:sz="6" w:space="1"/>
      </w:pBdr>
      <w:tabs>
        <w:tab w:val="center" w:pos="4153"/>
        <w:tab w:val="right" w:pos="8306"/>
      </w:tabs>
      <w:snapToGrid w:val="0"/>
      <w:jc w:val="center"/>
    </w:pPr>
    <w:rPr>
      <w:rFonts w:ascii="Calibri" w:hAnsi="Calibri" w:cs="Times New Roman"/>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tabs>
        <w:tab w:val="right" w:leader="dot" w:pos="8296"/>
      </w:tabs>
      <w:spacing w:line="400" w:lineRule="exact"/>
      <w:ind w:left="420" w:leftChars="200"/>
    </w:pPr>
  </w:style>
  <w:style w:type="character" w:styleId="14">
    <w:name w:val="page number"/>
    <w:basedOn w:val="13"/>
    <w:qFormat/>
    <w:uiPriority w:val="0"/>
  </w:style>
  <w:style w:type="character" w:styleId="15">
    <w:name w:val="Hyperlink"/>
    <w:unhideWhenUsed/>
    <w:qFormat/>
    <w:uiPriority w:val="99"/>
    <w:rPr>
      <w:color w:val="0563C1"/>
      <w:u w:val="single"/>
    </w:rPr>
  </w:style>
  <w:style w:type="character" w:styleId="16">
    <w:name w:val="annotation reference"/>
    <w:basedOn w:val="13"/>
    <w:unhideWhenUsed/>
    <w:qFormat/>
    <w:uiPriority w:val="99"/>
    <w:rPr>
      <w:sz w:val="21"/>
      <w:szCs w:val="21"/>
    </w:rPr>
  </w:style>
  <w:style w:type="table" w:styleId="18">
    <w:name w:val="Table Grid"/>
    <w:basedOn w:val="17"/>
    <w:qFormat/>
    <w:uiPriority w:val="59"/>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9">
    <w:name w:val="页脚 字符"/>
    <w:qFormat/>
    <w:uiPriority w:val="99"/>
  </w:style>
  <w:style w:type="character" w:customStyle="1" w:styleId="20">
    <w:name w:val="页脚 字符1"/>
    <w:link w:val="9"/>
    <w:semiHidden/>
    <w:qFormat/>
    <w:uiPriority w:val="99"/>
    <w:rPr>
      <w:sz w:val="18"/>
      <w:szCs w:val="18"/>
    </w:rPr>
  </w:style>
  <w:style w:type="character" w:customStyle="1" w:styleId="21">
    <w:name w:val="标题 3 字符"/>
    <w:link w:val="4"/>
    <w:semiHidden/>
    <w:qFormat/>
    <w:uiPriority w:val="9"/>
    <w:rPr>
      <w:rFonts w:ascii="Times New Roman" w:hAnsi="Times New Roman"/>
      <w:b/>
      <w:bCs/>
      <w:kern w:val="2"/>
      <w:sz w:val="32"/>
      <w:szCs w:val="32"/>
    </w:rPr>
  </w:style>
  <w:style w:type="character" w:customStyle="1" w:styleId="22">
    <w:name w:val="批注框文本 字符"/>
    <w:link w:val="8"/>
    <w:semiHidden/>
    <w:qFormat/>
    <w:uiPriority w:val="99"/>
    <w:rPr>
      <w:rFonts w:ascii="Times New Roman" w:hAnsi="Times New Roman"/>
      <w:kern w:val="2"/>
      <w:sz w:val="18"/>
      <w:szCs w:val="18"/>
    </w:rPr>
  </w:style>
  <w:style w:type="character" w:customStyle="1" w:styleId="23">
    <w:name w:val="页眉 字符1"/>
    <w:link w:val="10"/>
    <w:semiHidden/>
    <w:qFormat/>
    <w:uiPriority w:val="99"/>
    <w:rPr>
      <w:sz w:val="18"/>
      <w:szCs w:val="18"/>
    </w:rPr>
  </w:style>
  <w:style w:type="character" w:customStyle="1" w:styleId="24">
    <w:name w:val="标题 1 字符"/>
    <w:link w:val="2"/>
    <w:qFormat/>
    <w:uiPriority w:val="9"/>
    <w:rPr>
      <w:rFonts w:ascii="Times New Roman" w:hAnsi="Times New Roman"/>
      <w:b/>
      <w:bCs/>
      <w:kern w:val="44"/>
      <w:sz w:val="44"/>
      <w:szCs w:val="44"/>
    </w:rPr>
  </w:style>
  <w:style w:type="character" w:customStyle="1" w:styleId="25">
    <w:name w:val="页眉 字符"/>
    <w:qFormat/>
    <w:uiPriority w:val="99"/>
  </w:style>
  <w:style w:type="character" w:customStyle="1" w:styleId="26">
    <w:name w:val="标题 2 字符"/>
    <w:link w:val="3"/>
    <w:qFormat/>
    <w:uiPriority w:val="9"/>
    <w:rPr>
      <w:rFonts w:ascii="等线 Light" w:hAnsi="等线 Light" w:eastAsia="等线 Light" w:cs="Times New Roman"/>
      <w:b/>
      <w:bCs/>
      <w:kern w:val="2"/>
      <w:sz w:val="32"/>
      <w:szCs w:val="32"/>
    </w:rPr>
  </w:style>
  <w:style w:type="paragraph" w:customStyle="1" w:styleId="27">
    <w:name w:val="TOC 标题1"/>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E74B5"/>
      <w:kern w:val="0"/>
      <w:sz w:val="32"/>
      <w:szCs w:val="32"/>
    </w:rPr>
  </w:style>
  <w:style w:type="paragraph" w:customStyle="1" w:styleId="28">
    <w:name w:val="List Paragraph"/>
    <w:basedOn w:val="1"/>
    <w:qFormat/>
    <w:uiPriority w:val="34"/>
    <w:pPr>
      <w:ind w:firstLine="420" w:firstLineChars="200"/>
    </w:pPr>
  </w:style>
  <w:style w:type="paragraph" w:customStyle="1" w:styleId="2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0">
    <w:name w:val="01-正文小标宋三号居中"/>
    <w:basedOn w:val="1"/>
    <w:qFormat/>
    <w:uiPriority w:val="0"/>
    <w:pPr>
      <w:jc w:val="center"/>
    </w:pPr>
    <w:rPr>
      <w:rFonts w:ascii="方正小标宋_GBK" w:eastAsia="方正小标宋_GBK"/>
    </w:rPr>
  </w:style>
  <w:style w:type="paragraph" w:customStyle="1" w:styleId="31">
    <w:name w:val="Table Text"/>
    <w:basedOn w:val="1"/>
    <w:semiHidden/>
    <w:qFormat/>
    <w:uiPriority w:val="0"/>
    <w:rPr>
      <w:rFonts w:ascii="宋体" w:hAnsi="宋体" w:eastAsia="宋体" w:cs="宋体"/>
      <w:sz w:val="29"/>
      <w:szCs w:val="29"/>
      <w:lang w:val="en-US" w:eastAsia="en-US" w:bidi="ar-SA"/>
    </w:rPr>
  </w:style>
  <w:style w:type="table" w:customStyle="1" w:styleId="32">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jpe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wmf"/><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image" Target="media/image5.wmf"/><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74"/>
    <customShpInfo spid="_x0000_s1075"/>
    <customShpInfo spid="_x0000_s1079"/>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87bb507b-3e2a-40b6-b8bd-0c81c942ee7e</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7B56AF7F</paraID>
      <start xmlns="http://schemas.wps.cn/vas-ai-hub/contract-review">11</start>
      <end xmlns="http://schemas.wps.cn/vas-ai-hub/contract-review">12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e59b0eaa-04f7-42f7-be5f-b84c616a1ee7</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25888D88</paraID>
      <start xmlns="http://schemas.wps.cn/vas-ai-hub/contract-review">11</start>
      <end xmlns="http://schemas.wps.cn/vas-ai-hub/contract-review">12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7bf3b9be-54b7-4df9-b5e2-67e255c178ed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5B58D380</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d7987cdd-f151-4942-ac92-cef3dc1ddd1c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457994D1</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15550a88-65a0-4685-bc3c-53a30d9c39fa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item xmlns="http://schemas.wps.cn/vas-ai-hub/contract-review">.</item>
      </candidateList>
      <explain xmlns="http://schemas.wps.cn/vas-ai-hub/contract-review"/>
      <paraID xmlns="http://schemas.wps.cn/vas-ai-hub/contract-review">37D39A12</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e2359578-7ba0-4a77-b1e2-3f4198d0feb9</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36C94F84</paraID>
      <start xmlns="http://schemas.wps.cn/vas-ai-hub/contract-review">11</start>
      <end xmlns="http://schemas.wps.cn/vas-ai-hub/contract-review">12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667ec554-948c-4ed3-8132-7f9d36d26f32</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8B318B6</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381da4b0-4c70-4421-b8b2-a94e6aadaf6d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4F3CF42</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ae02d74c-57cd-4c37-9125-f92884e58077</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108CD476</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ddb1aeed-2f39-4fc6-92a6-fec9bde4f494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5591A30E</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494b621a-7fe1-4756-bfd1-ac5847e9bfce</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2BB1C6C4</paraID>
      <start xmlns="http://schemas.wps.cn/vas-ai-hub/contract-review">22</start>
      <end xmlns="http://schemas.wps.cn/vas-ai-hub/contract-review">23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f63cd7e6-6eec-4693-a753-74d5b8266663</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1D3AE3CA</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388bac4b-2683-4e8b-a03f-80fb41ffb0e8</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530D1256</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c005ba1b-d2d8-46c4-9bda-63bac10d8100</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18D458CB</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ffa01813-c7fb-48b8-93f1-befdb6e5ad3c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25CB4C3B</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ed262093-4bae-4cd6-8082-b06858c0ef93</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1F60BA10</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dd461d23-9c5c-4ac5-adf3-504e5d0e16eb</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2D7888F9</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0b2c09a3-aac4-4c2e-a0f1-93431b763c29</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D8E642C</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13ee1998-764b-4cb4-b07f-3d6b86ba7113</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729A4952</paraID>
      <start xmlns="http://schemas.wps.cn/vas-ai-hub/contract-review">11</start>
      <end xmlns="http://schemas.wps.cn/vas-ai-hub/contract-review">12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24d24dd1-ee97-4a83-9d96-7255c4f3ace6</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729A4952</paraID>
      <start xmlns="http://schemas.wps.cn/vas-ai-hub/contract-review">37</start>
      <end xmlns="http://schemas.wps.cn/vas-ai-hub/contract-review">38</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45369680-a92f-4dd7-ab9d-23cb3c0e62af</errorID>
      <errorWord xmlns="http://schemas.wps.cn/vas-ai-hub/contract-review">平正</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平整</item>
      </candidateList>
      <explain xmlns="http://schemas.wps.cn/vas-ai-hub/contract-review">存在发音相同字词的误用。</explain>
      <paraID xmlns="http://schemas.wps.cn/vas-ai-hub/contract-review">729A4952</paraID>
      <start xmlns="http://schemas.wps.cn/vas-ai-hub/contract-review">45</start>
      <end xmlns="http://schemas.wps.cn/vas-ai-hub/contract-review">47</end>
      <status xmlns="http://schemas.wps.cn/vas-ai-hub/contract-review">modified</status>
      <modifiedWord xmlns="http://schemas.wps.cn/vas-ai-hub/contract-review">平整</modifiedWord>
      <trackRevisions xmlns="http://schemas.wps.cn/vas-ai-hub/contract-review">false</trackRevisions>
    </reviewItem>
    <reviewItem xmlns="http://schemas.wps.cn/vas-ai-hub/contract-review">
      <errorID xmlns="http://schemas.wps.cn/vas-ai-hub/contract-review">feecd915-086e-4343-b41a-4a0d05ce248c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729A4952</paraID>
      <start xmlns="http://schemas.wps.cn/vas-ai-hub/contract-review">61</start>
      <end xmlns="http://schemas.wps.cn/vas-ai-hub/contract-review">62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1b8105c9-2ac9-488e-9a7c-b463a30aeabc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54A3F532</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6ae8ea5f-0898-4233-a654-3a6ebf678fd3</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684DF0AB</paraID>
      <start xmlns="http://schemas.wps.cn/vas-ai-hub/contract-review">62</start>
      <end xmlns="http://schemas.wps.cn/vas-ai-hub/contract-review">63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e67d3a28-c35c-46aa-a0df-a1333aeb7946</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47CDBDDB</paraID>
      <start xmlns="http://schemas.wps.cn/vas-ai-hub/contract-review">26</start>
      <end xmlns="http://schemas.wps.cn/vas-ai-hub/contract-review">27</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4f471009-3ffd-48a8-83cc-669b5b9fc09c</errorID>
      <errorWord xmlns="http://schemas.wps.cn/vas-ai-hub/contract-review">填写入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填写</item>
      </candidateList>
      <explain xmlns="http://schemas.wps.cn/vas-ai-hub/contract-review">〈动〉在印好的表格、单据等的空白处，按照项目、格式写上应写的文字或数字：～履历表｜～汇款通知单。</explain>
      <paraID xmlns="http://schemas.wps.cn/vas-ai-hub/contract-review">76FF30E2</paraID>
      <start xmlns="http://schemas.wps.cn/vas-ai-hub/contract-review">25</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5cc945aa-d87c-4392-92a2-a034d32d4f85</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6C452BE5</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25f688cc-b612-44bd-89dc-f3c1117d238d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40FD18E8</paraID>
      <start xmlns="http://schemas.wps.cn/vas-ai-hub/contract-review">112</start>
      <end xmlns="http://schemas.wps.cn/vas-ai-hub/contract-review">113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02bfd7e1-30ae-4e18-b8eb-4f3a417c5534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5193996E</paraID>
      <start xmlns="http://schemas.wps.cn/vas-ai-hub/contract-review">5</start>
      <end xmlns="http://schemas.wps.cn/vas-ai-hub/contract-review">6</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edde283b-0731-455a-8d90-e1b058d89b15</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5193996E</paraID>
      <start xmlns="http://schemas.wps.cn/vas-ai-hub/contract-review">27</start>
      <end xmlns="http://schemas.wps.cn/vas-ai-hub/contract-review">28</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56705fa5-90a9-4662-ab14-b0e716ae33c8</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5193996E</paraID>
      <start xmlns="http://schemas.wps.cn/vas-ai-hub/contract-review">54</start>
      <end xmlns="http://schemas.wps.cn/vas-ai-hub/contract-review">55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dda00147-a65d-42a6-a55d-254f307d16ab</errorID>
      <errorWord xmlns="http://schemas.wps.cn/vas-ai-hub/contract-review">填写入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填写</item>
      </candidateList>
      <explain xmlns="http://schemas.wps.cn/vas-ai-hub/contract-review">〈动〉在印好的表格、单据等的空白处，按照项目、格式写上应写的文字或数字：～履历表｜～汇款通知单。</explain>
      <paraID xmlns="http://schemas.wps.cn/vas-ai-hub/contract-review">5193996E</paraID>
      <start xmlns="http://schemas.wps.cn/vas-ai-hub/contract-review">67</start>
      <end xmlns="http://schemas.wps.cn/vas-ai-hub/contract-review">70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0815cf55-5612-48cb-81bd-6edca9b4ee0b</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1EE594A4</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1835d0c1-52b4-4795-a4c5-e337cb6f484a</errorID>
      <errorWord xmlns="http://schemas.wps.cn/vas-ai-hub/contract-review">应有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item>
      </candidateList>
      <explain xmlns="http://schemas.wps.cn/vas-ai-hub/contract-review">〈书〉同“又”▲：三十～八年。</explain>
      <paraID xmlns="http://schemas.wps.cn/vas-ai-hub/contract-review">1EE594A4</paraID>
      <start xmlns="http://schemas.wps.cn/vas-ai-hub/contract-review">23</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cd5a7132-bdcd-4915-bb8d-104ec41dae6c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670E254</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aeace14c-129e-48d4-9b82-ff4fe9ba9908</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45D99E85</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093ff340-c7c5-460d-86ff-544940072fb6</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22950C41</paraID>
      <start xmlns="http://schemas.wps.cn/vas-ai-hub/contract-review">3</start>
      <end xmlns="http://schemas.wps.cn/vas-ai-hub/contract-review">4</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d64cf992-030f-4f64-a0df-29b05c19eece</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22950C41</paraID>
      <start xmlns="http://schemas.wps.cn/vas-ai-hub/contract-review">22</start>
      <end xmlns="http://schemas.wps.cn/vas-ai-hub/contract-review">23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1ce3e680-aae4-4062-9418-f9440b96abfd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7FFD486B</paraID>
      <start xmlns="http://schemas.wps.cn/vas-ai-hub/contract-review">5</start>
      <end xmlns="http://schemas.wps.cn/vas-ai-hub/contract-review">6</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6dd118eb-f697-4620-a6d0-992f39d7314e</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53DB1B45</paraID>
      <start xmlns="http://schemas.wps.cn/vas-ai-hub/contract-review">11</start>
      <end xmlns="http://schemas.wps.cn/vas-ai-hub/contract-review">12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8bb22ed8-5bbb-455d-82b2-e38c9a088a47</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53DB1B45</paraID>
      <start xmlns="http://schemas.wps.cn/vas-ai-hub/contract-review">62</start>
      <end xmlns="http://schemas.wps.cn/vas-ai-hub/contract-review">63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2a72cf99-b238-4914-aacd-46c78a417bf6</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4249359B</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5744c248-26e1-445d-b07a-3b35d5dc6f29</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100885DA</paraID>
      <start xmlns="http://schemas.wps.cn/vas-ai-hub/contract-review">48</start>
      <end xmlns="http://schemas.wps.cn/vas-ai-hub/contract-review">49</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646de667-31b1-4d0d-95dd-33e482fb6476</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4A92AFF</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1d99830e-6ed0-42d8-ace2-46be2e5240f4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3F43FB57</paraID>
      <start xmlns="http://schemas.wps.cn/vas-ai-hub/contract-review">9</start>
      <end xmlns="http://schemas.wps.cn/vas-ai-hub/contract-review">10</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b4dd5444-d511-425c-9cf2-955499a079ee</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4135B642</paraID>
      <start xmlns="http://schemas.wps.cn/vas-ai-hub/contract-review">5</start>
      <end xmlns="http://schemas.wps.cn/vas-ai-hub/contract-review">6</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6d1655e5-8240-442c-b177-168b2c9d5654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64277895</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a08dbe50-fee9-42f6-b76b-2ed36fc4264d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5F325CE4</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bbe69e7d-f541-46af-9c4e-216a74faa9f5</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67B2DAE8</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a27c15d9-4225-4b6d-ac98-cf1be0f6ff41</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67B2DAE8</paraID>
      <start xmlns="http://schemas.wps.cn/vas-ai-hub/contract-review">38</start>
      <end xmlns="http://schemas.wps.cn/vas-ai-hub/contract-review">39</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8c4ec043-01e3-48cd-b84b-28031affa880</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72E096B9</paraID>
      <start xmlns="http://schemas.wps.cn/vas-ai-hub/contract-review">23</start>
      <end xmlns="http://schemas.wps.cn/vas-ai-hub/contract-review">24</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1bc67ced-d0ba-47d3-a866-57c942075112</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72E096B9</paraID>
      <start xmlns="http://schemas.wps.cn/vas-ai-hub/contract-review">52</start>
      <end xmlns="http://schemas.wps.cn/vas-ai-hub/contract-review">53</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d7f1f01c-3f1f-450b-98d2-692250d2a074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24D8CB3D</paraID>
      <start xmlns="http://schemas.wps.cn/vas-ai-hub/contract-review">23</start>
      <end xmlns="http://schemas.wps.cn/vas-ai-hub/contract-review">24</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52f38e18-45eb-4ae1-b90d-2b80ea0509c4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52371080</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16a68e5d-0faf-47fc-8f39-06c578cb1809</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508280E7</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da1e9151-30ee-463d-a099-3b6a4baedbad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58A6DD8A</paraID>
      <start xmlns="http://schemas.wps.cn/vas-ai-hub/contract-review">13</start>
      <end xmlns="http://schemas.wps.cn/vas-ai-hub/contract-review">14</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e65b74d4-04d9-4c18-87b9-253aec05cfcd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1E0792B6</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270b5f83-5a66-4af1-a3b5-a94ff027bf88</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1E0792B6</paraID>
      <start xmlns="http://schemas.wps.cn/vas-ai-hub/contract-review">15</start>
      <end xmlns="http://schemas.wps.cn/vas-ai-hub/contract-review">16</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bc4ad7e4-ee33-423b-a8b9-5cf234309fef</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562A0DEE</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63327317-42a7-4440-acfc-50e8e530a262</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562A0DEE</paraID>
      <start xmlns="http://schemas.wps.cn/vas-ai-hub/contract-review">25</start>
      <end xmlns="http://schemas.wps.cn/vas-ai-hub/contract-review">26</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a4ed81df-ae4d-4d74-b237-b1ac4591687f</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2F27C800</paraID>
      <start xmlns="http://schemas.wps.cn/vas-ai-hub/contract-review">4</start>
      <end xmlns="http://schemas.wps.cn/vas-ai-hub/contract-review">5</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861e0860-a2aa-4854-9f29-35f01c6e577d</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20500635</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97c00c6b-e901-4650-a616-c81f427857d8</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103D1556</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f0885685-c9f0-45a5-8490-365d9cafc96f</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103D1556</paraID>
      <start xmlns="http://schemas.wps.cn/vas-ai-hub/contract-review">23</start>
      <end xmlns="http://schemas.wps.cn/vas-ai-hub/contract-review">24</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51a4c5a3-292a-4a29-9eb7-ddd329c9be92</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41ADC89</paraID>
      <start xmlns="http://schemas.wps.cn/vas-ai-hub/contract-review">20</start>
      <end xmlns="http://schemas.wps.cn/vas-ai-hub/contract-review">21</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e0a30fdd-dd32-46a3-830e-302ae403c5b2</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658DAC26</paraID>
      <start xmlns="http://schemas.wps.cn/vas-ai-hub/contract-review">41</start>
      <end xmlns="http://schemas.wps.cn/vas-ai-hub/contract-review">42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32ba616c-4890-4da5-b166-6fa3ced5d220</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69E61CC1</paraID>
      <start xmlns="http://schemas.wps.cn/vas-ai-hub/contract-review">19</start>
      <end xmlns="http://schemas.wps.cn/vas-ai-hub/contract-review">20</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f687fa8c-23a1-4b6f-a005-f2c51397294c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53B4EE30</paraID>
      <start xmlns="http://schemas.wps.cn/vas-ai-hub/contract-review">15</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9e06fd32-6f3a-4197-82db-53e7f8027cc1</errorID>
      <errorWord xmlns="http://schemas.wps.cn/vas-ai-hub/contract-review">a:</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a.</item>
      </candidateList>
      <explain xmlns="http://schemas.wps.cn/vas-ai-hub/contract-review">当前序号格式不规范，建议修改为规范格式[a.]。</explain>
      <paraID xmlns="http://schemas.wps.cn/vas-ai-hub/contract-review">7FFF8130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3881db33-eccd-4d29-910b-4285e40dc6a5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3DE44DC6</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6ef5dc4d-5433-4e7c-8cc7-34cbd5a704f9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3DE44DC6</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5afa87a4-9a76-4b77-9114-9ecf81a66eae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37E504F6</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c3ab3901-d6d4-4ab0-8b20-cd01c0bd4360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37E504F6</paraID>
      <start xmlns="http://schemas.wps.cn/vas-ai-hub/contract-review">2</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698a5b59-21cf-4312-a8c0-0b12a37d04ab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53662C0</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004d9d99-7587-4152-92a2-bdad4a0eee37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53662C0</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7cf3e83b-2705-4dd8-a55f-e84f50202f8c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6D4F51BF</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63929b82-413c-4dd2-ac42-c790a58daf1c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6D4F51BF</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e7d7d54f-32b8-43b6-8058-60f8858d7af2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7F1C2B68</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d63bc2ae-2302-4a1a-8ddd-41180864c65a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7F1C2B68</paraID>
      <start xmlns="http://schemas.wps.cn/vas-ai-hub/contract-review">11</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ab6a259f-5c9b-400c-9a00-149039ae5aa4</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1A76B946</paraID>
      <start xmlns="http://schemas.wps.cn/vas-ai-hub/contract-review">9</start>
      <end xmlns="http://schemas.wps.cn/vas-ai-hub/contract-review">10</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969e77b2-6f70-461c-b144-c2b691ca67d3</errorID>
      <errorWord xmlns="http://schemas.wps.cn/vas-ai-hub/contract-review">出水管的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出水管</item>
      </candidateList>
      <explain xmlns="http://schemas.wps.cn/vas-ai-hub/contract-review"/>
      <paraID xmlns="http://schemas.wps.cn/vas-ai-hub/contract-review">3547AA36</paraID>
      <start xmlns="http://schemas.wps.cn/vas-ai-hub/contract-review">19</start>
      <end xmlns="http://schemas.wps.cn/vas-ai-hub/contract-review">22</end>
      <status xmlns="http://schemas.wps.cn/vas-ai-hub/contract-review">modified</status>
      <modifiedWord xmlns="http://schemas.wps.cn/vas-ai-hub/contract-review">出水管</modifiedWord>
      <trackRevisions xmlns="http://schemas.wps.cn/vas-ai-hub/contract-review">false</trackRevisions>
    </reviewItem>
    <reviewItem xmlns="http://schemas.wps.cn/vas-ai-hub/contract-review">
      <errorID xmlns="http://schemas.wps.cn/vas-ai-hub/contract-review">dda6408a-5e4e-45b4-bca4-bf5648ec73bc</errorID>
      <errorWord xmlns="http://schemas.wps.cn/vas-ai-hub/contract-review">写写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写</item>
      </candidateList>
      <explain xmlns="http://schemas.wps.cn/vas-ai-hub/contract-review"/>
      <paraID xmlns="http://schemas.wps.cn/vas-ai-hub/contract-review"> 267D99E</paraID>
      <start xmlns="http://schemas.wps.cn/vas-ai-hub/contract-review">1</start>
      <end xmlns="http://schemas.wps.cn/vas-ai-hub/contract-review">2</end>
      <status xmlns="http://schemas.wps.cn/vas-ai-hub/contract-review">modified</status>
      <modifiedWord xmlns="http://schemas.wps.cn/vas-ai-hub/contract-review">写</modifiedWord>
      <trackRevisions xmlns="http://schemas.wps.cn/vas-ai-hub/contract-review">false</trackRevisions>
    </reviewItem>
    <reviewItem xmlns="http://schemas.wps.cn/vas-ai-hub/contract-review">
      <errorID xmlns="http://schemas.wps.cn/vas-ai-hub/contract-review">e215841d-f008-40ba-98ce-a753973b2e96</errorID>
      <errorWord xmlns="http://schemas.wps.cn/vas-ai-hub/contract-review">填写为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填写</item>
      </candidateList>
      <explain xmlns="http://schemas.wps.cn/vas-ai-hub/contract-review">〈动〉在印好的表格、单据等的空白处，按照项目、格式写上应写的文字或数字：～履历表｜～汇款通知单。</explain>
      <paraID xmlns="http://schemas.wps.cn/vas-ai-hub/contract-review">45810CE1</paraID>
      <start xmlns="http://schemas.wps.cn/vas-ai-hub/contract-review">55</start>
      <end xmlns="http://schemas.wps.cn/vas-ai-hub/contract-review">58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64b227-a2f1-43d8-8cd6-79548a10f37e}">
  <ds:schemaRefs/>
</ds:datastoreItem>
</file>

<file path=customXml/itemProps3.xml><?xml version="1.0" encoding="utf-8"?>
<ds:datastoreItem xmlns:ds="http://schemas.openxmlformats.org/officeDocument/2006/customXml" ds:itemID="{47591025-CA15-4965-94FA-BD7373F7651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2581</Words>
  <Characters>2913</Characters>
  <Lines>1</Lines>
  <Paragraphs>1</Paragraphs>
  <TotalTime>0</TotalTime>
  <ScaleCrop>false</ScaleCrop>
  <LinksUpToDate>false</LinksUpToDate>
  <CharactersWithSpaces>3254</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2024-09-11T14:37:00Z</dcterms:created>
  <dc:creator>吉林省气象局</dc:creator>
  <cp:lastModifiedBy>PC</cp:lastModifiedBy>
  <dcterms:modified xsi:type="dcterms:W3CDTF">2026-08-26T05:01:11Z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CEE9816F3BB8476A9376C08636B17EB1_13</vt:lpwstr>
  </property>
  <property fmtid="{D5CDD505-2E9C-101B-9397-08002B2CF9AE}" pid="3" name="KSOProductBuildVer">
    <vt:lpwstr>2052-10.8.0.5715</vt:lpwstr>
  </property>
  <property fmtid="{D5CDD505-2E9C-101B-9397-08002B2CF9AE}" pid="4" name="KSOTemplateDocerSaveRecord">
    <vt:lpwstr>eyJoZGlkIjoiM2Q3ZGIwZWJiNjE3ODAwZDEwMTIyMTNkMjA5NTlkOTAiLCJ1c2VySWQiOiIzMTM3NjcxMDYifQ==</vt:lpwstr>
  </property>
</Properties>
</file>